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E9E6B"/>
          <w:sz w:val="20"/>
          <w:szCs w:val="20"/>
        </w:rPr>
        <w:t xml:space="preserve">IMPLEMENTATION</w:t>
      </w:r>
    </w:p>
    <w:p>
      <w:pPr>
        <w:spacing w:after="80"/>
      </w:pPr>
      <w:r>
        <w:rPr>
          <w:b/>
          <w:bCs/>
          <w:color w:val="1A3A5C"/>
          <w:sz w:val="32"/>
          <w:szCs w:val="32"/>
        </w:rPr>
        <w:t xml:space="preserve">Implementation plan</w:t>
      </w:r>
    </w:p>
    <w:p>
      <w:pPr>
        <w:spacing w:after="40"/>
      </w:pPr>
      <w:r>
        <w:rPr>
          <w:color w:val="1A3A5C"/>
          <w:sz w:val="24"/>
          <w:szCs w:val="24"/>
        </w:rPr>
        <w:t xml:space="preserve">From signature to residents booking</w:t>
      </w:r>
    </w:p>
    <w:p>
      <w:pPr>
        <w:pBdr>
          <w:bottom w:val="single" w:color="D6DCE4" w:sz="6" w:space="8"/>
        </w:pBdr>
        <w:spacing w:after="320"/>
      </w:pPr>
      <w:r>
        <w:rPr>
          <w:color w:val="64748B"/>
          <w:sz w:val="20"/>
          <w:szCs w:val="20"/>
        </w:rPr>
        <w:t xml:space="preserve">Typical schedule for a city with fewer than fifty reservable facilities. August 2026.</w:t>
      </w:r>
    </w:p>
    <w:p>
      <w:pPr>
        <w:pBdr>
          <w:left w:val="single" w:color="2E9E6B" w:sz="18" w:space="8"/>
        </w:pBdr>
        <w:shd w:fill="F1F5F9" w:color="auto" w:val="clear"/>
        <w:spacing w:after="320" w:before="120"/>
      </w:pPr>
      <w:r>
        <w:rPr>
          <w:i/>
          <w:iCs/>
          <w:color w:val="475569"/>
          <w:sz w:val="20"/>
          <w:szCs w:val="20"/>
        </w:rPr>
        <w:t xml:space="preserve">This is the plan we work to, not a sales estimate. The critical path runs through the City, not through us: the schedule below holds when the four items in section 2 arrive in the first few days.</w:t>
      </w:r>
    </w:p>
    <w:p>
      <w:pPr>
        <w:pStyle w:val="Heading1"/>
        <w:keepNext/>
        <w:spacing w:after="140" w:before="360"/>
      </w:pPr>
      <w:r>
        <w:rPr>
          <w:b/>
          <w:bCs/>
          <w:color w:val="1A3A5C"/>
          <w:sz w:val="26"/>
          <w:szCs w:val="26"/>
        </w:rPr>
        <w:t xml:space="preserve">1. Schedule</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1500"/>
        <w:gridCol w:w="4400"/>
        <w:gridCol w:w="4180"/>
      </w:tblGrid>
      <w:tr>
        <w:trPr>
          <w:tblHeader/>
        </w:trPr>
        <w:tc>
          <w:tcPr>
            <w:tcW w:type="dxa" w:w="1500"/>
            <w:shd w:fill="F1F5F9" w:color="auto" w:val="clear"/>
            <w:tcMar>
              <w:top w:type="dxa" w:w="80"/>
              <w:left w:type="dxa" w:w="120"/>
              <w:bottom w:type="dxa" w:w="80"/>
              <w:right w:type="dxa" w:w="120"/>
            </w:tcMar>
          </w:tcPr>
          <w:p>
            <w:pPr>
              <w:spacing w:after="0" w:before="0" w:line="264"/>
            </w:pPr>
            <w:r>
              <w:rPr>
                <w:b/>
                <w:bCs/>
                <w:color w:val="1A3A5C"/>
                <w:sz w:val="20"/>
                <w:szCs w:val="20"/>
              </w:rPr>
              <w:t xml:space="preserve">When</w:t>
            </w:r>
          </w:p>
        </w:tc>
        <w:tc>
          <w:tcPr>
            <w:tcW w:type="dxa" w:w="4400"/>
            <w:shd w:fill="F1F5F9" w:color="auto" w:val="clear"/>
            <w:tcMar>
              <w:top w:type="dxa" w:w="80"/>
              <w:left w:type="dxa" w:w="120"/>
              <w:bottom w:type="dxa" w:w="80"/>
              <w:right w:type="dxa" w:w="120"/>
            </w:tcMar>
          </w:tcPr>
          <w:p>
            <w:pPr>
              <w:spacing w:after="0" w:before="0" w:line="264"/>
            </w:pPr>
            <w:r>
              <w:rPr>
                <w:b/>
                <w:bCs/>
                <w:color w:val="1A3A5C"/>
                <w:sz w:val="20"/>
                <w:szCs w:val="20"/>
              </w:rPr>
              <w:t xml:space="preserve">What happens</w:t>
            </w:r>
          </w:p>
        </w:tc>
        <w:tc>
          <w:tcPr>
            <w:tcW w:type="dxa" w:w="4180"/>
            <w:shd w:fill="F1F5F9" w:color="auto" w:val="clear"/>
            <w:tcMar>
              <w:top w:type="dxa" w:w="80"/>
              <w:left w:type="dxa" w:w="120"/>
              <w:bottom w:type="dxa" w:w="80"/>
              <w:right w:type="dxa" w:w="120"/>
            </w:tcMar>
          </w:tcPr>
          <w:p>
            <w:pPr>
              <w:spacing w:after="0" w:before="0" w:line="264"/>
            </w:pPr>
            <w:r>
              <w:rPr>
                <w:b/>
                <w:bCs/>
                <w:color w:val="1A3A5C"/>
                <w:sz w:val="20"/>
                <w:szCs w:val="20"/>
              </w:rPr>
              <w:t xml:space="preserve">Who does it</w:t>
            </w:r>
          </w:p>
        </w:tc>
      </w:tr>
      <w:tr>
        <w:trPr>
          <w:cantSplit/>
        </w:trPr>
        <w:tc>
          <w:tcPr>
            <w:tcW w:type="dxa" w:w="1500"/>
            <w:tcMar>
              <w:top w:type="dxa" w:w="80"/>
              <w:left w:type="dxa" w:w="120"/>
              <w:bottom w:type="dxa" w:w="80"/>
              <w:right w:type="dxa" w:w="120"/>
            </w:tcMar>
          </w:tcPr>
          <w:p>
            <w:pPr>
              <w:spacing w:after="0" w:before="0" w:line="264"/>
            </w:pPr>
            <w:r>
              <w:rPr>
                <w:b w:val="false"/>
                <w:bCs w:val="false"/>
                <w:color w:val="334155"/>
                <w:sz w:val="20"/>
                <w:szCs w:val="20"/>
              </w:rPr>
              <w:t xml:space="preserve">Day 0</w:t>
            </w:r>
          </w:p>
        </w:tc>
        <w:tc>
          <w:tcPr>
            <w:tcW w:type="dxa" w:w="4400"/>
            <w:tcMar>
              <w:top w:type="dxa" w:w="80"/>
              <w:left w:type="dxa" w:w="120"/>
              <w:bottom w:type="dxa" w:w="80"/>
              <w:right w:type="dxa" w:w="120"/>
            </w:tcMar>
          </w:tcPr>
          <w:p>
            <w:pPr>
              <w:spacing w:after="0" w:before="0" w:line="264"/>
            </w:pPr>
            <w:r>
              <w:rPr>
                <w:b w:val="false"/>
                <w:bCs w:val="false"/>
                <w:color w:val="334155"/>
                <w:sz w:val="20"/>
                <w:szCs w:val="20"/>
              </w:rPr>
              <w:t xml:space="preserve">Agreement signed. Kickoff call of about thirty minutes to confirm the facility list, the fee schedule, the deposit model, and who the administrators will be.</w:t>
            </w:r>
          </w:p>
        </w:tc>
        <w:tc>
          <w:tcPr>
            <w:tcW w:type="dxa" w:w="4180"/>
            <w:tcMar>
              <w:top w:type="dxa" w:w="80"/>
              <w:left w:type="dxa" w:w="120"/>
              <w:bottom w:type="dxa" w:w="80"/>
              <w:right w:type="dxa" w:w="120"/>
            </w:tcMar>
          </w:tcPr>
          <w:p>
            <w:pPr>
              <w:spacing w:after="0" w:before="0" w:line="264"/>
            </w:pPr>
            <w:r>
              <w:rPr>
                <w:b w:val="false"/>
                <w:bCs w:val="false"/>
                <w:color w:val="334155"/>
                <w:sz w:val="20"/>
                <w:szCs w:val="20"/>
              </w:rPr>
              <w:t xml:space="preserve">City and ParksPilot</w:t>
            </w:r>
          </w:p>
        </w:tc>
      </w:tr>
      <w:tr>
        <w:trPr>
          <w:cantSplit/>
        </w:trPr>
        <w:tc>
          <w:tcPr>
            <w:tcW w:type="dxa" w:w="1500"/>
            <w:tcMar>
              <w:top w:type="dxa" w:w="80"/>
              <w:left w:type="dxa" w:w="120"/>
              <w:bottom w:type="dxa" w:w="80"/>
              <w:right w:type="dxa" w:w="120"/>
            </w:tcMar>
          </w:tcPr>
          <w:p>
            <w:pPr>
              <w:spacing w:after="0" w:before="0" w:line="264"/>
            </w:pPr>
            <w:r>
              <w:rPr>
                <w:b w:val="false"/>
                <w:bCs w:val="false"/>
                <w:color w:val="334155"/>
                <w:sz w:val="20"/>
                <w:szCs w:val="20"/>
              </w:rPr>
              <w:t xml:space="preserve">Days 1 to 3</w:t>
            </w:r>
          </w:p>
        </w:tc>
        <w:tc>
          <w:tcPr>
            <w:tcW w:type="dxa" w:w="4400"/>
            <w:tcMar>
              <w:top w:type="dxa" w:w="80"/>
              <w:left w:type="dxa" w:w="120"/>
              <w:bottom w:type="dxa" w:w="80"/>
              <w:right w:type="dxa" w:w="120"/>
            </w:tcMar>
          </w:tcPr>
          <w:p>
            <w:pPr>
              <w:spacing w:after="0" w:before="0" w:line="264"/>
            </w:pPr>
            <w:r>
              <w:rPr>
                <w:b w:val="false"/>
                <w:bCs w:val="false"/>
                <w:color w:val="334155"/>
                <w:sz w:val="20"/>
                <w:szCs w:val="20"/>
              </w:rPr>
              <w:t xml:space="preserve">City sends the facility list, photographs, current rates, and staff roster. City creates or connects its Stripe account, which is the only step that touches City banking.</w:t>
            </w:r>
          </w:p>
        </w:tc>
        <w:tc>
          <w:tcPr>
            <w:tcW w:type="dxa" w:w="4180"/>
            <w:tcMar>
              <w:top w:type="dxa" w:w="80"/>
              <w:left w:type="dxa" w:w="120"/>
              <w:bottom w:type="dxa" w:w="80"/>
              <w:right w:type="dxa" w:w="120"/>
            </w:tcMar>
          </w:tcPr>
          <w:p>
            <w:pPr>
              <w:spacing w:after="0" w:before="0" w:line="264"/>
            </w:pPr>
            <w:r>
              <w:rPr>
                <w:b w:val="false"/>
                <w:bCs w:val="false"/>
                <w:color w:val="334155"/>
                <w:sz w:val="20"/>
                <w:szCs w:val="20"/>
              </w:rPr>
              <w:t xml:space="preserve">City</w:t>
            </w:r>
          </w:p>
        </w:tc>
      </w:tr>
      <w:tr>
        <w:trPr>
          <w:cantSplit/>
        </w:trPr>
        <w:tc>
          <w:tcPr>
            <w:tcW w:type="dxa" w:w="1500"/>
            <w:tcMar>
              <w:top w:type="dxa" w:w="80"/>
              <w:left w:type="dxa" w:w="120"/>
              <w:bottom w:type="dxa" w:w="80"/>
              <w:right w:type="dxa" w:w="120"/>
            </w:tcMar>
          </w:tcPr>
          <w:p>
            <w:pPr>
              <w:spacing w:after="0" w:before="0" w:line="264"/>
            </w:pPr>
            <w:r>
              <w:rPr>
                <w:b w:val="false"/>
                <w:bCs w:val="false"/>
                <w:color w:val="334155"/>
                <w:sz w:val="20"/>
                <w:szCs w:val="20"/>
              </w:rPr>
              <w:t xml:space="preserve">Days 2 to 6</w:t>
            </w:r>
          </w:p>
        </w:tc>
        <w:tc>
          <w:tcPr>
            <w:tcW w:type="dxa" w:w="4400"/>
            <w:tcMar>
              <w:top w:type="dxa" w:w="80"/>
              <w:left w:type="dxa" w:w="120"/>
              <w:bottom w:type="dxa" w:w="80"/>
              <w:right w:type="dxa" w:w="120"/>
            </w:tcMar>
          </w:tcPr>
          <w:p>
            <w:pPr>
              <w:spacing w:after="0" w:before="0" w:line="264"/>
            </w:pPr>
            <w:r>
              <w:rPr>
                <w:b w:val="false"/>
                <w:bCs w:val="false"/>
                <w:color w:val="334155"/>
                <w:sz w:val="20"/>
                <w:szCs w:val="20"/>
              </w:rPr>
              <w:t xml:space="preserve">We configure the city: facilities, descriptions, capacities, amenities, rates, reservable hours, deposit rules, branding, and the city's subdomain.</w:t>
            </w:r>
          </w:p>
        </w:tc>
        <w:tc>
          <w:tcPr>
            <w:tcW w:type="dxa" w:w="4180"/>
            <w:tcMar>
              <w:top w:type="dxa" w:w="80"/>
              <w:left w:type="dxa" w:w="120"/>
              <w:bottom w:type="dxa" w:w="80"/>
              <w:right w:type="dxa" w:w="120"/>
            </w:tcMar>
          </w:tcPr>
          <w:p>
            <w:pPr>
              <w:spacing w:after="0" w:before="0" w:line="264"/>
            </w:pPr>
            <w:r>
              <w:rPr>
                <w:b w:val="false"/>
                <w:bCs w:val="false"/>
                <w:color w:val="334155"/>
                <w:sz w:val="20"/>
                <w:szCs w:val="20"/>
              </w:rPr>
              <w:t xml:space="preserve">ParksPilot</w:t>
            </w:r>
          </w:p>
        </w:tc>
      </w:tr>
      <w:tr>
        <w:trPr>
          <w:cantSplit/>
        </w:trPr>
        <w:tc>
          <w:tcPr>
            <w:tcW w:type="dxa" w:w="1500"/>
            <w:tcMar>
              <w:top w:type="dxa" w:w="80"/>
              <w:left w:type="dxa" w:w="120"/>
              <w:bottom w:type="dxa" w:w="80"/>
              <w:right w:type="dxa" w:w="120"/>
            </w:tcMar>
          </w:tcPr>
          <w:p>
            <w:pPr>
              <w:spacing w:after="0" w:before="0" w:line="264"/>
            </w:pPr>
            <w:r>
              <w:rPr>
                <w:b w:val="false"/>
                <w:bCs w:val="false"/>
                <w:color w:val="334155"/>
                <w:sz w:val="20"/>
                <w:szCs w:val="20"/>
              </w:rPr>
              <w:t xml:space="preserve">Days 5 to 8</w:t>
            </w:r>
          </w:p>
        </w:tc>
        <w:tc>
          <w:tcPr>
            <w:tcW w:type="dxa" w:w="4400"/>
            <w:tcMar>
              <w:top w:type="dxa" w:w="80"/>
              <w:left w:type="dxa" w:w="120"/>
              <w:bottom w:type="dxa" w:w="80"/>
              <w:right w:type="dxa" w:w="120"/>
            </w:tcMar>
          </w:tcPr>
          <w:p>
            <w:pPr>
              <w:spacing w:after="0" w:before="0" w:line="264"/>
            </w:pPr>
            <w:r>
              <w:rPr>
                <w:b w:val="false"/>
                <w:bCs w:val="false"/>
                <w:color w:val="334155"/>
                <w:sz w:val="20"/>
                <w:szCs w:val="20"/>
              </w:rPr>
              <w:t xml:space="preserve">Staff accounts created. Training session of about sixty minutes, recorded, covering the reservation queue, permits, closures, and deposit close-out. Written documentation provided.</w:t>
            </w:r>
          </w:p>
        </w:tc>
        <w:tc>
          <w:tcPr>
            <w:tcW w:type="dxa" w:w="4180"/>
            <w:tcMar>
              <w:top w:type="dxa" w:w="80"/>
              <w:left w:type="dxa" w:w="120"/>
              <w:bottom w:type="dxa" w:w="80"/>
              <w:right w:type="dxa" w:w="120"/>
            </w:tcMar>
          </w:tcPr>
          <w:p>
            <w:pPr>
              <w:spacing w:after="0" w:before="0" w:line="264"/>
            </w:pPr>
            <w:r>
              <w:rPr>
                <w:b w:val="false"/>
                <w:bCs w:val="false"/>
                <w:color w:val="334155"/>
                <w:sz w:val="20"/>
                <w:szCs w:val="20"/>
              </w:rPr>
              <w:t xml:space="preserve">City and ParksPilot</w:t>
            </w:r>
          </w:p>
        </w:tc>
      </w:tr>
      <w:tr>
        <w:trPr>
          <w:cantSplit/>
        </w:trPr>
        <w:tc>
          <w:tcPr>
            <w:tcW w:type="dxa" w:w="1500"/>
            <w:tcMar>
              <w:top w:type="dxa" w:w="80"/>
              <w:left w:type="dxa" w:w="120"/>
              <w:bottom w:type="dxa" w:w="80"/>
              <w:right w:type="dxa" w:w="120"/>
            </w:tcMar>
          </w:tcPr>
          <w:p>
            <w:pPr>
              <w:spacing w:after="0" w:before="0" w:line="264"/>
            </w:pPr>
            <w:r>
              <w:rPr>
                <w:b w:val="false"/>
                <w:bCs w:val="false"/>
                <w:color w:val="334155"/>
                <w:sz w:val="20"/>
                <w:szCs w:val="20"/>
              </w:rPr>
              <w:t xml:space="preserve">Days 6 to 9</w:t>
            </w:r>
          </w:p>
        </w:tc>
        <w:tc>
          <w:tcPr>
            <w:tcW w:type="dxa" w:w="4400"/>
            <w:tcMar>
              <w:top w:type="dxa" w:w="80"/>
              <w:left w:type="dxa" w:w="120"/>
              <w:bottom w:type="dxa" w:w="80"/>
              <w:right w:type="dxa" w:w="120"/>
            </w:tcMar>
          </w:tcPr>
          <w:p>
            <w:pPr>
              <w:spacing w:after="0" w:before="0" w:line="264"/>
            </w:pPr>
            <w:r>
              <w:rPr>
                <w:b w:val="false"/>
                <w:bCs w:val="false"/>
                <w:color w:val="334155"/>
                <w:sz w:val="20"/>
                <w:szCs w:val="20"/>
              </w:rPr>
              <w:t xml:space="preserve">City reviews the configured site and requests corrections. We make a test booking end to end, including a live deposit and its refund, so the money path is proven before residents see it.</w:t>
            </w:r>
          </w:p>
        </w:tc>
        <w:tc>
          <w:tcPr>
            <w:tcW w:type="dxa" w:w="4180"/>
            <w:tcMar>
              <w:top w:type="dxa" w:w="80"/>
              <w:left w:type="dxa" w:w="120"/>
              <w:bottom w:type="dxa" w:w="80"/>
              <w:right w:type="dxa" w:w="120"/>
            </w:tcMar>
          </w:tcPr>
          <w:p>
            <w:pPr>
              <w:spacing w:after="0" w:before="0" w:line="264"/>
            </w:pPr>
            <w:r>
              <w:rPr>
                <w:b w:val="false"/>
                <w:bCs w:val="false"/>
                <w:color w:val="334155"/>
                <w:sz w:val="20"/>
                <w:szCs w:val="20"/>
              </w:rPr>
              <w:t xml:space="preserve">City and ParksPilot</w:t>
            </w:r>
          </w:p>
        </w:tc>
      </w:tr>
      <w:tr>
        <w:trPr>
          <w:cantSplit/>
        </w:trPr>
        <w:tc>
          <w:tcPr>
            <w:tcW w:type="dxa" w:w="1500"/>
            <w:tcMar>
              <w:top w:type="dxa" w:w="80"/>
              <w:left w:type="dxa" w:w="120"/>
              <w:bottom w:type="dxa" w:w="80"/>
              <w:right w:type="dxa" w:w="120"/>
            </w:tcMar>
          </w:tcPr>
          <w:p>
            <w:pPr>
              <w:spacing w:after="0" w:before="0" w:line="264"/>
            </w:pPr>
            <w:r>
              <w:rPr>
                <w:b w:val="false"/>
                <w:bCs w:val="false"/>
                <w:color w:val="334155"/>
                <w:sz w:val="20"/>
                <w:szCs w:val="20"/>
              </w:rPr>
              <w:t xml:space="preserve">Days 8 to 12</w:t>
            </w:r>
          </w:p>
        </w:tc>
        <w:tc>
          <w:tcPr>
            <w:tcW w:type="dxa" w:w="4400"/>
            <w:tcMar>
              <w:top w:type="dxa" w:w="80"/>
              <w:left w:type="dxa" w:w="120"/>
              <w:bottom w:type="dxa" w:w="80"/>
              <w:right w:type="dxa" w:w="120"/>
            </w:tcMar>
          </w:tcPr>
          <w:p>
            <w:pPr>
              <w:spacing w:after="0" w:before="0" w:line="264"/>
            </w:pPr>
            <w:r>
              <w:rPr>
                <w:b w:val="false"/>
                <w:bCs w:val="false"/>
                <w:color w:val="334155"/>
                <w:sz w:val="20"/>
                <w:szCs w:val="20"/>
              </w:rPr>
              <w:t xml:space="preserve">Go live. The city links the reservation page from its own website. We monitor the first bookings and are on call.</w:t>
            </w:r>
          </w:p>
        </w:tc>
        <w:tc>
          <w:tcPr>
            <w:tcW w:type="dxa" w:w="4180"/>
            <w:tcMar>
              <w:top w:type="dxa" w:w="80"/>
              <w:left w:type="dxa" w:w="120"/>
              <w:bottom w:type="dxa" w:w="80"/>
              <w:right w:type="dxa" w:w="120"/>
            </w:tcMar>
          </w:tcPr>
          <w:p>
            <w:pPr>
              <w:spacing w:after="0" w:before="0" w:line="264"/>
            </w:pPr>
            <w:r>
              <w:rPr>
                <w:b w:val="false"/>
                <w:bCs w:val="false"/>
                <w:color w:val="334155"/>
                <w:sz w:val="20"/>
                <w:szCs w:val="20"/>
              </w:rPr>
              <w:t xml:space="preserve">City and ParksPilot</w:t>
            </w:r>
          </w:p>
        </w:tc>
      </w:tr>
      <w:tr>
        <w:trPr>
          <w:cantSplit/>
        </w:trPr>
        <w:tc>
          <w:tcPr>
            <w:tcW w:type="dxa" w:w="1500"/>
            <w:tcMar>
              <w:top w:type="dxa" w:w="80"/>
              <w:left w:type="dxa" w:w="120"/>
              <w:bottom w:type="dxa" w:w="80"/>
              <w:right w:type="dxa" w:w="120"/>
            </w:tcMar>
          </w:tcPr>
          <w:p>
            <w:pPr>
              <w:spacing w:after="0" w:before="0" w:line="264"/>
            </w:pPr>
            <w:r>
              <w:rPr>
                <w:b w:val="false"/>
                <w:bCs w:val="false"/>
                <w:color w:val="334155"/>
                <w:sz w:val="20"/>
                <w:szCs w:val="20"/>
              </w:rPr>
              <w:t xml:space="preserve">Day 30</w:t>
            </w:r>
          </w:p>
        </w:tc>
        <w:tc>
          <w:tcPr>
            <w:tcW w:type="dxa" w:w="4400"/>
            <w:tcMar>
              <w:top w:type="dxa" w:w="80"/>
              <w:left w:type="dxa" w:w="120"/>
              <w:bottom w:type="dxa" w:w="80"/>
              <w:right w:type="dxa" w:w="120"/>
            </w:tcMar>
          </w:tcPr>
          <w:p>
            <w:pPr>
              <w:spacing w:after="0" w:before="0" w:line="264"/>
            </w:pPr>
            <w:r>
              <w:rPr>
                <w:b w:val="false"/>
                <w:bCs w:val="false"/>
                <w:color w:val="334155"/>
                <w:sz w:val="20"/>
                <w:szCs w:val="20"/>
              </w:rPr>
              <w:t xml:space="preserve">Check-in call. Review the first month of bookings, revenue, and any facility or rate changes.</w:t>
            </w:r>
          </w:p>
        </w:tc>
        <w:tc>
          <w:tcPr>
            <w:tcW w:type="dxa" w:w="4180"/>
            <w:tcMar>
              <w:top w:type="dxa" w:w="80"/>
              <w:left w:type="dxa" w:w="120"/>
              <w:bottom w:type="dxa" w:w="80"/>
              <w:right w:type="dxa" w:w="120"/>
            </w:tcMar>
          </w:tcPr>
          <w:p>
            <w:pPr>
              <w:spacing w:after="0" w:before="0" w:line="264"/>
            </w:pPr>
            <w:r>
              <w:rPr>
                <w:b w:val="false"/>
                <w:bCs w:val="false"/>
                <w:color w:val="334155"/>
                <w:sz w:val="20"/>
                <w:szCs w:val="20"/>
              </w:rPr>
              <w:t xml:space="preserve">City and ParksPilot</w:t>
            </w:r>
          </w:p>
        </w:tc>
      </w:tr>
    </w:tbl>
    <w:p>
      <w:pPr>
        <w:spacing w:after="120"/>
      </w:pPr>
    </w:p>
    <w:p>
      <w:pPr>
        <w:pStyle w:val="Heading1"/>
        <w:keepNext/>
        <w:spacing w:after="140" w:before="360"/>
      </w:pPr>
      <w:r>
        <w:rPr>
          <w:b/>
          <w:bCs/>
          <w:color w:val="1A3A5C"/>
          <w:sz w:val="26"/>
          <w:szCs w:val="26"/>
        </w:rPr>
        <w:t xml:space="preserve">2. What we need from the City</w:t>
      </w:r>
    </w:p>
    <w:p>
      <w:pPr>
        <w:spacing w:after="160" w:before="0" w:line="264"/>
      </w:pPr>
      <w:r>
        <w:rPr>
          <w:color w:val="334155"/>
          <w:sz w:val="20"/>
          <w:szCs w:val="20"/>
        </w:rPr>
        <w:t xml:space="preserve">Four things, and the schedule above starts moving when they arrive. Nothing else is required, and none of it involves City IT.</w:t>
      </w:r>
    </w:p>
    <w:p>
      <w:pPr>
        <w:pStyle w:val="ListParagraph"/>
        <w:numPr>
          <w:ilvl w:val="0"/>
          <w:numId w:val="2"/>
        </w:numPr>
        <w:spacing w:after="80" w:line="264"/>
      </w:pPr>
      <w:r>
        <w:rPr>
          <w:color w:val="334155"/>
          <w:sz w:val="20"/>
          <w:szCs w:val="20"/>
        </w:rPr>
        <w:t xml:space="preserve">The facility list. Names, what each space is, capacity, and the hours it can be reserved. A page from the current website or a spreadsheet is fine.</w:t>
      </w:r>
    </w:p>
    <w:p>
      <w:pPr>
        <w:pStyle w:val="ListParagraph"/>
        <w:numPr>
          <w:ilvl w:val="0"/>
          <w:numId w:val="2"/>
        </w:numPr>
        <w:spacing w:after="80" w:line="264"/>
      </w:pPr>
      <w:r>
        <w:rPr>
          <w:color w:val="334155"/>
          <w:sz w:val="20"/>
          <w:szCs w:val="20"/>
        </w:rPr>
        <w:t xml:space="preserve">Photographs. One good photograph per facility. Phone photographs are fine and are better than none.</w:t>
      </w:r>
    </w:p>
    <w:p>
      <w:pPr>
        <w:pStyle w:val="ListParagraph"/>
        <w:numPr>
          <w:ilvl w:val="0"/>
          <w:numId w:val="2"/>
        </w:numPr>
        <w:spacing w:after="80" w:line="264"/>
      </w:pPr>
      <w:r>
        <w:rPr>
          <w:color w:val="334155"/>
          <w:sz w:val="20"/>
          <w:szCs w:val="20"/>
        </w:rPr>
        <w:t xml:space="preserve">The fee schedule as adopted. Rental rates, deposit amounts, resident and non-resident rates if you have them, and any waivers you apply.</w:t>
      </w:r>
    </w:p>
    <w:p>
      <w:pPr>
        <w:pStyle w:val="ListParagraph"/>
        <w:numPr>
          <w:ilvl w:val="0"/>
          <w:numId w:val="2"/>
        </w:numPr>
        <w:spacing w:after="80" w:line="264"/>
      </w:pPr>
      <w:r>
        <w:rPr>
          <w:color w:val="334155"/>
          <w:sz w:val="20"/>
          <w:szCs w:val="20"/>
        </w:rPr>
        <w:t xml:space="preserve">The staff roster. Names and email addresses of who needs access, and which of them may issue refunds.</w:t>
      </w:r>
    </w:p>
    <w:p>
      <w:pPr>
        <w:spacing w:after="80"/>
      </w:pPr>
    </w:p>
    <w:p>
      <w:pPr>
        <w:pStyle w:val="Heading1"/>
        <w:keepNext/>
        <w:spacing w:after="140" w:before="360"/>
      </w:pPr>
      <w:r>
        <w:rPr>
          <w:b/>
          <w:bCs/>
          <w:color w:val="1A3A5C"/>
          <w:sz w:val="26"/>
          <w:szCs w:val="26"/>
        </w:rPr>
        <w:t xml:space="preserve">3. What the City does not need to do</w:t>
      </w:r>
    </w:p>
    <w:p>
      <w:pPr>
        <w:pStyle w:val="ListParagraph"/>
        <w:numPr>
          <w:ilvl w:val="0"/>
          <w:numId w:val="2"/>
        </w:numPr>
        <w:spacing w:after="80" w:line="264"/>
      </w:pPr>
      <w:r>
        <w:rPr>
          <w:color w:val="334155"/>
          <w:sz w:val="20"/>
          <w:szCs w:val="20"/>
        </w:rPr>
        <w:t xml:space="preserve">No servers, hosting, or installation. The system is hosted and runs on the city's own subdomain, for example yourcity.parkspilot.com.</w:t>
      </w:r>
    </w:p>
    <w:p>
      <w:pPr>
        <w:pStyle w:val="ListParagraph"/>
        <w:numPr>
          <w:ilvl w:val="0"/>
          <w:numId w:val="2"/>
        </w:numPr>
        <w:spacing w:after="80" w:line="264"/>
      </w:pPr>
      <w:r>
        <w:rPr>
          <w:color w:val="334155"/>
          <w:sz w:val="20"/>
          <w:szCs w:val="20"/>
        </w:rPr>
        <w:t xml:space="preserve">No software on City workstations. Staff use a browser.</w:t>
      </w:r>
    </w:p>
    <w:p>
      <w:pPr>
        <w:pStyle w:val="ListParagraph"/>
        <w:numPr>
          <w:ilvl w:val="0"/>
          <w:numId w:val="2"/>
        </w:numPr>
        <w:spacing w:after="80" w:line="264"/>
      </w:pPr>
      <w:r>
        <w:rPr>
          <w:color w:val="334155"/>
          <w:sz w:val="20"/>
          <w:szCs w:val="20"/>
        </w:rPr>
        <w:t xml:space="preserve">No IT project. There is nothing to integrate with the city's network, and no work for a shared or contracted IT provider.</w:t>
      </w:r>
    </w:p>
    <w:p>
      <w:pPr>
        <w:pStyle w:val="ListParagraph"/>
        <w:numPr>
          <w:ilvl w:val="0"/>
          <w:numId w:val="2"/>
        </w:numPr>
        <w:spacing w:after="80" w:line="264"/>
      </w:pPr>
      <w:r>
        <w:rPr>
          <w:color w:val="334155"/>
          <w:sz w:val="20"/>
          <w:szCs w:val="20"/>
        </w:rPr>
        <w:t xml:space="preserve">No data migration in most cases. Existing reservations are usually few enough to enter by hand, and staff can enter them during training as practice.</w:t>
      </w:r>
    </w:p>
    <w:p>
      <w:pPr>
        <w:spacing w:after="80"/>
      </w:pPr>
    </w:p>
    <w:p>
      <w:pPr>
        <w:pStyle w:val="Heading1"/>
        <w:keepNext/>
        <w:spacing w:after="140" w:before="360"/>
      </w:pPr>
      <w:r>
        <w:rPr>
          <w:b/>
          <w:bCs/>
          <w:color w:val="1A3A5C"/>
          <w:sz w:val="26"/>
          <w:szCs w:val="26"/>
        </w:rPr>
        <w:t xml:space="preserve">4. Decisions the City makes during setup</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3400"/>
        <w:gridCol w:w="6680"/>
      </w:tblGrid>
      <w:tr>
        <w:trPr>
          <w:tblHeader/>
        </w:trPr>
        <w:tc>
          <w:tcPr>
            <w:tcW w:type="dxa" w:w="3400"/>
            <w:shd w:fill="F1F5F9" w:color="auto" w:val="clear"/>
            <w:tcMar>
              <w:top w:type="dxa" w:w="80"/>
              <w:left w:type="dxa" w:w="120"/>
              <w:bottom w:type="dxa" w:w="80"/>
              <w:right w:type="dxa" w:w="120"/>
            </w:tcMar>
          </w:tcPr>
          <w:p>
            <w:pPr>
              <w:spacing w:after="0" w:before="0" w:line="264"/>
            </w:pPr>
            <w:r>
              <w:rPr>
                <w:b/>
                <w:bCs/>
                <w:color w:val="1A3A5C"/>
                <w:sz w:val="20"/>
                <w:szCs w:val="20"/>
              </w:rPr>
              <w:t xml:space="preserve">Decision</w:t>
            </w:r>
          </w:p>
        </w:tc>
        <w:tc>
          <w:tcPr>
            <w:tcW w:type="dxa" w:w="6680"/>
            <w:shd w:fill="F1F5F9" w:color="auto" w:val="clear"/>
            <w:tcMar>
              <w:top w:type="dxa" w:w="80"/>
              <w:left w:type="dxa" w:w="120"/>
              <w:bottom w:type="dxa" w:w="80"/>
              <w:right w:type="dxa" w:w="120"/>
            </w:tcMar>
          </w:tcPr>
          <w:p>
            <w:pPr>
              <w:spacing w:after="0" w:before="0" w:line="264"/>
            </w:pPr>
            <w:r>
              <w:rPr>
                <w:b/>
                <w:bCs/>
                <w:color w:val="1A3A5C"/>
                <w:sz w:val="20"/>
                <w:szCs w:val="20"/>
              </w:rPr>
              <w:t xml:space="preserve">What it means</w:t>
            </w:r>
          </w:p>
        </w:tc>
      </w:tr>
      <w:tr>
        <w:trPr>
          <w:cantSplit/>
        </w:trPr>
        <w:tc>
          <w:tcPr>
            <w:tcW w:type="dxa" w:w="3400"/>
            <w:tcMar>
              <w:top w:type="dxa" w:w="80"/>
              <w:left w:type="dxa" w:w="120"/>
              <w:bottom w:type="dxa" w:w="80"/>
              <w:right w:type="dxa" w:w="120"/>
            </w:tcMar>
          </w:tcPr>
          <w:p>
            <w:pPr>
              <w:spacing w:after="0" w:before="0" w:line="264"/>
            </w:pPr>
            <w:r>
              <w:rPr>
                <w:b w:val="false"/>
                <w:bCs w:val="false"/>
                <w:color w:val="334155"/>
                <w:sz w:val="20"/>
                <w:szCs w:val="20"/>
              </w:rPr>
              <w:t xml:space="preserve">Collection model</w:t>
            </w:r>
          </w:p>
        </w:tc>
        <w:tc>
          <w:tcPr>
            <w:tcW w:type="dxa" w:w="6680"/>
            <w:tcMar>
              <w:top w:type="dxa" w:w="80"/>
              <w:left w:type="dxa" w:w="120"/>
              <w:bottom w:type="dxa" w:w="80"/>
              <w:right w:type="dxa" w:w="120"/>
            </w:tcMar>
          </w:tcPr>
          <w:p>
            <w:pPr>
              <w:spacing w:after="0" w:before="0" w:line="264"/>
            </w:pPr>
            <w:r>
              <w:rPr>
                <w:b w:val="false"/>
                <w:bCs w:val="false"/>
                <w:color w:val="334155"/>
                <w:sz w:val="20"/>
                <w:szCs w:val="20"/>
              </w:rPr>
              <w:t xml:space="preserve">Refundable deposit only, with the rental settled at the parks office, or the full rental and deposit charged together at booking. Facilities with no deposit can confirm with no online payment at all.</w:t>
            </w:r>
          </w:p>
        </w:tc>
      </w:tr>
      <w:tr>
        <w:trPr>
          <w:cantSplit/>
        </w:trPr>
        <w:tc>
          <w:tcPr>
            <w:tcW w:type="dxa" w:w="3400"/>
            <w:tcMar>
              <w:top w:type="dxa" w:w="80"/>
              <w:left w:type="dxa" w:w="120"/>
              <w:bottom w:type="dxa" w:w="80"/>
              <w:right w:type="dxa" w:w="120"/>
            </w:tcMar>
          </w:tcPr>
          <w:p>
            <w:pPr>
              <w:spacing w:after="0" w:before="0" w:line="264"/>
            </w:pPr>
            <w:r>
              <w:rPr>
                <w:b w:val="false"/>
                <w:bCs w:val="false"/>
                <w:color w:val="334155"/>
                <w:sz w:val="20"/>
                <w:szCs w:val="20"/>
              </w:rPr>
              <w:t xml:space="preserve">Convenience fee</w:t>
            </w:r>
          </w:p>
        </w:tc>
        <w:tc>
          <w:tcPr>
            <w:tcW w:type="dxa" w:w="6680"/>
            <w:tcMar>
              <w:top w:type="dxa" w:w="80"/>
              <w:left w:type="dxa" w:w="120"/>
              <w:bottom w:type="dxa" w:w="80"/>
              <w:right w:type="dxa" w:w="120"/>
            </w:tcMar>
          </w:tcPr>
          <w:p>
            <w:pPr>
              <w:spacing w:after="0" w:before="0" w:line="264"/>
            </w:pPr>
            <w:r>
              <w:rPr>
                <w:b w:val="false"/>
                <w:bCs w:val="false"/>
                <w:color w:val="334155"/>
                <w:sz w:val="20"/>
                <w:szCs w:val="20"/>
              </w:rPr>
              <w:t xml:space="preserve">Whether the city absorbs the vendor percentage on the pay-as-you-go plan or adds it to online bookings. Any fee added to a resident transaction is disclosed before payment.</w:t>
            </w:r>
          </w:p>
        </w:tc>
      </w:tr>
      <w:tr>
        <w:trPr>
          <w:cantSplit/>
        </w:trPr>
        <w:tc>
          <w:tcPr>
            <w:tcW w:type="dxa" w:w="3400"/>
            <w:tcMar>
              <w:top w:type="dxa" w:w="80"/>
              <w:left w:type="dxa" w:w="120"/>
              <w:bottom w:type="dxa" w:w="80"/>
              <w:right w:type="dxa" w:w="120"/>
            </w:tcMar>
          </w:tcPr>
          <w:p>
            <w:pPr>
              <w:spacing w:after="0" w:before="0" w:line="264"/>
            </w:pPr>
            <w:r>
              <w:rPr>
                <w:b w:val="false"/>
                <w:bCs w:val="false"/>
                <w:color w:val="334155"/>
                <w:sz w:val="20"/>
                <w:szCs w:val="20"/>
              </w:rPr>
              <w:t xml:space="preserve">Cancellation window</w:t>
            </w:r>
          </w:p>
        </w:tc>
        <w:tc>
          <w:tcPr>
            <w:tcW w:type="dxa" w:w="6680"/>
            <w:tcMar>
              <w:top w:type="dxa" w:w="80"/>
              <w:left w:type="dxa" w:w="120"/>
              <w:bottom w:type="dxa" w:w="80"/>
              <w:right w:type="dxa" w:w="120"/>
            </w:tcMar>
          </w:tcPr>
          <w:p>
            <w:pPr>
              <w:spacing w:after="0" w:before="0" w:line="264"/>
            </w:pPr>
            <w:r>
              <w:rPr>
                <w:b w:val="false"/>
                <w:bCs w:val="false"/>
                <w:color w:val="334155"/>
                <w:sz w:val="20"/>
                <w:szCs w:val="20"/>
              </w:rPr>
              <w:t xml:space="preserve">How far ahead a resident may cancel online, and what happens to the deposit after that point.</w:t>
            </w:r>
          </w:p>
        </w:tc>
      </w:tr>
      <w:tr>
        <w:trPr>
          <w:cantSplit/>
        </w:trPr>
        <w:tc>
          <w:tcPr>
            <w:tcW w:type="dxa" w:w="3400"/>
            <w:tcMar>
              <w:top w:type="dxa" w:w="80"/>
              <w:left w:type="dxa" w:w="120"/>
              <w:bottom w:type="dxa" w:w="80"/>
              <w:right w:type="dxa" w:w="120"/>
            </w:tcMar>
          </w:tcPr>
          <w:p>
            <w:pPr>
              <w:spacing w:after="0" w:before="0" w:line="264"/>
            </w:pPr>
            <w:r>
              <w:rPr>
                <w:b w:val="false"/>
                <w:bCs w:val="false"/>
                <w:color w:val="334155"/>
                <w:sz w:val="20"/>
                <w:szCs w:val="20"/>
              </w:rPr>
              <w:t xml:space="preserve">Permit questions</w:t>
            </w:r>
          </w:p>
        </w:tc>
        <w:tc>
          <w:tcPr>
            <w:tcW w:type="dxa" w:w="6680"/>
            <w:tcMar>
              <w:top w:type="dxa" w:w="80"/>
              <w:left w:type="dxa" w:w="120"/>
              <w:bottom w:type="dxa" w:w="80"/>
              <w:right w:type="dxa" w:w="120"/>
            </w:tcMar>
          </w:tcPr>
          <w:p>
            <w:pPr>
              <w:spacing w:after="0" w:before="0" w:line="264"/>
            </w:pPr>
            <w:r>
              <w:rPr>
                <w:b w:val="false"/>
                <w:bCs w:val="false"/>
                <w:color w:val="334155"/>
                <w:sz w:val="20"/>
                <w:szCs w:val="20"/>
              </w:rPr>
              <w:t xml:space="preserve">Which questions the event permit application asks: attendance, alcohol, amplified sound, tents, vendors, insurance.</w:t>
            </w:r>
          </w:p>
        </w:tc>
      </w:tr>
      <w:tr>
        <w:trPr>
          <w:cantSplit/>
        </w:trPr>
        <w:tc>
          <w:tcPr>
            <w:tcW w:type="dxa" w:w="3400"/>
            <w:tcMar>
              <w:top w:type="dxa" w:w="80"/>
              <w:left w:type="dxa" w:w="120"/>
              <w:bottom w:type="dxa" w:w="80"/>
              <w:right w:type="dxa" w:w="120"/>
            </w:tcMar>
          </w:tcPr>
          <w:p>
            <w:pPr>
              <w:spacing w:after="0" w:before="0" w:line="264"/>
            </w:pPr>
            <w:r>
              <w:rPr>
                <w:b w:val="false"/>
                <w:bCs w:val="false"/>
                <w:color w:val="334155"/>
                <w:sz w:val="20"/>
                <w:szCs w:val="20"/>
              </w:rPr>
              <w:t xml:space="preserve">Who may refund</w:t>
            </w:r>
          </w:p>
        </w:tc>
        <w:tc>
          <w:tcPr>
            <w:tcW w:type="dxa" w:w="6680"/>
            <w:tcMar>
              <w:top w:type="dxa" w:w="80"/>
              <w:left w:type="dxa" w:w="120"/>
              <w:bottom w:type="dxa" w:w="80"/>
              <w:right w:type="dxa" w:w="120"/>
            </w:tcMar>
          </w:tcPr>
          <w:p>
            <w:pPr>
              <w:spacing w:after="0" w:before="0" w:line="264"/>
            </w:pPr>
            <w:r>
              <w:rPr>
                <w:b w:val="false"/>
                <w:bCs w:val="false"/>
                <w:color w:val="334155"/>
                <w:sz w:val="20"/>
                <w:szCs w:val="20"/>
              </w:rPr>
              <w:t xml:space="preserve">Which staff hold the administrator role that can refund or withhold a deposit.</w:t>
            </w:r>
          </w:p>
        </w:tc>
      </w:tr>
    </w:tbl>
    <w:p>
      <w:pPr>
        <w:spacing w:after="120"/>
      </w:pPr>
    </w:p>
    <w:p>
      <w:pPr>
        <w:pStyle w:val="Heading1"/>
        <w:keepNext/>
        <w:spacing w:after="140" w:before="360"/>
      </w:pPr>
      <w:r>
        <w:rPr>
          <w:b/>
          <w:bCs/>
          <w:color w:val="1A3A5C"/>
          <w:sz w:val="26"/>
          <w:szCs w:val="26"/>
        </w:rPr>
        <w:t xml:space="preserve">5. What could delay it</w:t>
      </w:r>
    </w:p>
    <w:p>
      <w:pPr>
        <w:spacing w:after="160" w:before="0" w:line="264"/>
      </w:pPr>
      <w:r>
        <w:rPr>
          <w:color w:val="334155"/>
          <w:sz w:val="20"/>
          <w:szCs w:val="20"/>
        </w:rPr>
        <w:t xml:space="preserve">Stated plainly because it is nearly always one of these three, and all three are avoidable if you know about them on day one.</w:t>
      </w:r>
    </w:p>
    <w:p>
      <w:pPr>
        <w:pStyle w:val="ListParagraph"/>
        <w:numPr>
          <w:ilvl w:val="0"/>
          <w:numId w:val="2"/>
        </w:numPr>
        <w:spacing w:after="80" w:line="264"/>
      </w:pPr>
      <w:r>
        <w:rPr>
          <w:color w:val="334155"/>
          <w:sz w:val="20"/>
          <w:szCs w:val="20"/>
        </w:rPr>
        <w:t xml:space="preserve">Stripe onboarding. The city's finance office needs to complete Stripe's business verification, which requires the city's tax identification number and bank details. Start it on day one. It is usually quick and it gates go-live, because nothing can be collected until it is done.</w:t>
      </w:r>
    </w:p>
    <w:p>
      <w:pPr>
        <w:pStyle w:val="ListParagraph"/>
        <w:numPr>
          <w:ilvl w:val="0"/>
          <w:numId w:val="2"/>
        </w:numPr>
        <w:spacing w:after="80" w:line="264"/>
      </w:pPr>
      <w:r>
        <w:rPr>
          <w:color w:val="334155"/>
          <w:sz w:val="20"/>
          <w:szCs w:val="20"/>
        </w:rPr>
        <w:t xml:space="preserve">The fee schedule. If rates have not been adopted, or the adopted schedule differs from what the website says, this is where the days go. Confirm the ordinance before kickoff.</w:t>
      </w:r>
    </w:p>
    <w:p>
      <w:pPr>
        <w:pStyle w:val="ListParagraph"/>
        <w:numPr>
          <w:ilvl w:val="0"/>
          <w:numId w:val="2"/>
        </w:numPr>
        <w:spacing w:after="80" w:line="264"/>
      </w:pPr>
      <w:r>
        <w:rPr>
          <w:color w:val="334155"/>
          <w:sz w:val="20"/>
          <w:szCs w:val="20"/>
        </w:rPr>
        <w:t xml:space="preserve">Photographs. The most common cause of a slow launch is nobody wanting to be the person who walks the parks with a phone. Assign it at kickoff.</w:t>
      </w:r>
    </w:p>
    <w:p>
      <w:pPr>
        <w:spacing w:after="80"/>
      </w:pPr>
    </w:p>
    <w:p>
      <w:pPr>
        <w:pStyle w:val="Heading1"/>
        <w:keepNext/>
        <w:spacing w:after="140" w:before="360"/>
      </w:pPr>
      <w:r>
        <w:rPr>
          <w:b/>
          <w:bCs/>
          <w:color w:val="1A3A5C"/>
          <w:sz w:val="26"/>
          <w:szCs w:val="26"/>
        </w:rPr>
        <w:t xml:space="preserve">6. After go-live</w:t>
      </w:r>
    </w:p>
    <w:p>
      <w:pPr>
        <w:spacing w:after="160" w:before="0" w:line="264"/>
      </w:pPr>
      <w:r>
        <w:rPr>
          <w:color w:val="334155"/>
          <w:sz w:val="20"/>
          <w:szCs w:val="20"/>
        </w:rPr>
        <w:t xml:space="preserve">Staff add, edit, and retire facilities, change rates, block dates for maintenance or weather, review permits, and close out deposits without vendor assistance. Product updates are included. Support channels and response targets are set out in the services agreement.</w:t>
      </w:r>
    </w:p>
    <w:p>
      <w:pPr>
        <w:pBdr>
          <w:top w:val="single" w:color="D6DCE4" w:sz="6" w:space="12"/>
        </w:pBdr>
        <w:spacing w:before="480"/>
      </w:pPr>
      <w:r>
        <w:rPr>
          <w:i/>
          <w:iCs/>
          <w:color w:val="64748B"/>
          <w:sz w:val="18"/>
          <w:szCs w:val="18"/>
        </w:rPr>
        <w:t xml:space="preserve">Kahnputers LLC, maker of ParksPilot. www.parkspilot.com  parks@parkspilot.com  Georgia, USA. Registered in the federal System for Award Management (SAM.gov).</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4A3B8"/>
        <w:sz w:val="16"/>
        <w:szCs w:val="16"/>
      </w:rPr>
      <w:t xml:space="preserve">Page </w:t>
    </w:r>
    <w:r>
      <w:rPr>
        <w:color w:val="94A3B8"/>
        <w:sz w:val="16"/>
        <w:szCs w:val="16"/>
      </w:rPr>
      <w:fldChar w:fldCharType="begin"/>
      <w:instrText xml:space="preserve">PAGE</w:instrText>
      <w:fldChar w:fldCharType="separate"/>
      <w:fldChar w:fldCharType="end"/>
    </w:r>
    <w:r>
      <w:rPr>
        <w:color w:val="94A3B8"/>
        <w:sz w:val="16"/>
        <w:szCs w:val="16"/>
      </w:rPr>
      <w:t xml:space="preserve"> of </w:t>
    </w:r>
    <w:r>
      <w:rPr>
        <w:color w:val="94A3B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plan</dc:title>
  <dc:creator>Kahnputers LLC</dc:creator>
  <dc:description>From signature to residents booking</dc:description>
  <cp:lastModifiedBy>Un-named</cp:lastModifiedBy>
  <cp:revision>1</cp:revision>
  <dcterms:created xsi:type="dcterms:W3CDTF">2026-08-23T21:36:17.125Z</dcterms:created>
  <dcterms:modified xsi:type="dcterms:W3CDTF">2026-08-23T21:36:17.125Z</dcterms:modified>
</cp:coreProperties>
</file>

<file path=docProps/custom.xml><?xml version="1.0" encoding="utf-8"?>
<Properties xmlns="http://schemas.openxmlformats.org/officeDocument/2006/custom-properties" xmlns:vt="http://schemas.openxmlformats.org/officeDocument/2006/docPropsVTypes"/>
</file>