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E9E6B"/>
          <w:sz w:val="20"/>
          <w:szCs w:val="20"/>
        </w:rPr>
        <w:t xml:space="preserve">SUMMARY</w:t>
      </w:r>
    </w:p>
    <w:p>
      <w:pPr>
        <w:spacing w:after="80"/>
      </w:pPr>
      <w:r>
        <w:rPr>
          <w:b/>
          <w:bCs/>
          <w:color w:val="1A3A5C"/>
          <w:sz w:val="32"/>
          <w:szCs w:val="32"/>
        </w:rPr>
        <w:t xml:space="preserve">Key contract terms at a glance</w:t>
      </w:r>
    </w:p>
    <w:p>
      <w:pPr>
        <w:spacing w:after="40"/>
      </w:pPr>
      <w:r>
        <w:rPr>
          <w:color w:val="1A3A5C"/>
          <w:sz w:val="24"/>
          <w:szCs w:val="24"/>
        </w:rPr>
        <w:t xml:space="preserve">ParksPilot, by Kahnputers LLC</w:t>
      </w:r>
    </w:p>
    <w:p>
      <w:pPr>
        <w:pBdr>
          <w:bottom w:val="single" w:color="D6DCE4" w:sz="6" w:space="8"/>
        </w:pBdr>
        <w:spacing w:after="320"/>
      </w:pPr>
      <w:r>
        <w:rPr>
          <w:color w:val="64748B"/>
          <w:sz w:val="20"/>
          <w:szCs w:val="20"/>
        </w:rPr>
        <w:t xml:space="preserve">A plain-language summary for review, not the agreement itself. August 2026.</w:t>
      </w:r>
    </w:p>
    <w:p>
      <w:pPr>
        <w:pBdr>
          <w:left w:val="single" w:color="2E9E6B" w:sz="18" w:space="8"/>
        </w:pBdr>
        <w:shd w:fill="F1F5F9" w:color="auto" w:val="clear"/>
        <w:spacing w:after="320" w:before="120"/>
      </w:pPr>
      <w:r>
        <w:rPr>
          <w:i/>
          <w:iCs/>
          <w:color w:val="475569"/>
          <w:sz w:val="20"/>
          <w:szCs w:val="20"/>
        </w:rPr>
        <w:t xml:space="preserve">This is a summary written to be read quickly by a clerk, a manager, or a council member. It is not a contract and it does not vary one. The executed services agreement governs, and your city attorney should read that document rather than this one. It is in this package as document 5, so counsel can start now rather than after you have chosen a vendor.</w:t>
      </w:r>
    </w:p>
    <w:p>
      <w:pPr>
        <w:pStyle w:val="Heading1"/>
        <w:keepNext/>
        <w:spacing w:after="140" w:before="360"/>
      </w:pPr>
      <w:r>
        <w:rPr>
          <w:b/>
          <w:bCs/>
          <w:color w:val="1A3A5C"/>
          <w:sz w:val="26"/>
          <w:szCs w:val="26"/>
        </w:rPr>
        <w:t xml:space="preserve">Commercial terms</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3200"/>
        <w:gridCol w:w="6880"/>
      </w:tblGrid>
      <w:tr>
        <w:trPr>
          <w:tblHeader/>
        </w:trPr>
        <w:tc>
          <w:tcPr>
            <w:tcW w:type="dxa" w:w="3200"/>
            <w:shd w:fill="F1F5F9" w:color="auto" w:val="clear"/>
            <w:tcMar>
              <w:top w:type="dxa" w:w="80"/>
              <w:left w:type="dxa" w:w="120"/>
              <w:bottom w:type="dxa" w:w="80"/>
              <w:right w:type="dxa" w:w="120"/>
            </w:tcMar>
          </w:tcPr>
          <w:p>
            <w:pPr>
              <w:spacing w:after="0" w:before="0" w:line="264"/>
            </w:pPr>
            <w:r>
              <w:rPr>
                <w:b/>
                <w:bCs/>
                <w:color w:val="1A3A5C"/>
                <w:sz w:val="20"/>
                <w:szCs w:val="20"/>
              </w:rPr>
              <w:t xml:space="preserve">Term</w:t>
            </w:r>
          </w:p>
        </w:tc>
        <w:tc>
          <w:tcPr>
            <w:tcW w:type="dxa" w:w="6880"/>
            <w:shd w:fill="F1F5F9" w:color="auto" w:val="clear"/>
            <w:tcMar>
              <w:top w:type="dxa" w:w="80"/>
              <w:left w:type="dxa" w:w="120"/>
              <w:bottom w:type="dxa" w:w="80"/>
              <w:right w:type="dxa" w:w="120"/>
            </w:tcMar>
          </w:tcPr>
          <w:p>
            <w:pPr>
              <w:spacing w:after="0" w:before="0" w:line="264"/>
            </w:pPr>
            <w:r>
              <w:rPr>
                <w:b/>
                <w:bCs/>
                <w:color w:val="1A3A5C"/>
                <w:sz w:val="20"/>
                <w:szCs w:val="20"/>
              </w:rPr>
              <w:t xml:space="preserve">Summary</w:t>
            </w:r>
          </w:p>
        </w:tc>
      </w:tr>
      <w:tr>
        <w:trPr>
          <w:cantSplit/>
        </w:trPr>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Initial term</w:t>
            </w:r>
          </w:p>
        </w:tc>
        <w:tc>
          <w:tcPr>
            <w:tcW w:type="dxa" w:w="6880"/>
            <w:tcMar>
              <w:top w:type="dxa" w:w="80"/>
              <w:left w:type="dxa" w:w="120"/>
              <w:bottom w:type="dxa" w:w="80"/>
              <w:right w:type="dxa" w:w="120"/>
            </w:tcMar>
          </w:tcPr>
          <w:p>
            <w:pPr>
              <w:spacing w:after="0" w:before="0" w:line="264"/>
            </w:pPr>
            <w:r>
              <w:rPr>
                <w:b w:val="false"/>
                <w:bCs w:val="false"/>
                <w:color w:val="334155"/>
                <w:sz w:val="20"/>
                <w:szCs w:val="20"/>
              </w:rPr>
              <w:t xml:space="preserve">One year. We do not ask for multi-year commitments.</w:t>
            </w:r>
          </w:p>
        </w:tc>
      </w:tr>
      <w:tr>
        <w:trPr>
          <w:cantSplit/>
        </w:trPr>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Renewal</w:t>
            </w:r>
          </w:p>
        </w:tc>
        <w:tc>
          <w:tcPr>
            <w:tcW w:type="dxa" w:w="6880"/>
            <w:tcMar>
              <w:top w:type="dxa" w:w="80"/>
              <w:left w:type="dxa" w:w="120"/>
              <w:bottom w:type="dxa" w:w="80"/>
              <w:right w:type="dxa" w:w="120"/>
            </w:tcMar>
          </w:tcPr>
          <w:p>
            <w:pPr>
              <w:spacing w:after="0" w:before="0" w:line="264"/>
            </w:pPr>
            <w:r>
              <w:rPr>
                <w:b w:val="false"/>
                <w:bCs w:val="false"/>
                <w:color w:val="334155"/>
                <w:sz w:val="20"/>
                <w:szCs w:val="20"/>
              </w:rPr>
              <w:t xml:space="preserve">Annual, by agreement. A city that does not want another year does not have one.</w:t>
            </w:r>
          </w:p>
        </w:tc>
      </w:tr>
      <w:tr>
        <w:trPr>
          <w:cantSplit/>
        </w:trPr>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Price</w:t>
            </w:r>
          </w:p>
        </w:tc>
        <w:tc>
          <w:tcPr>
            <w:tcW w:type="dxa" w:w="6880"/>
            <w:tcMar>
              <w:top w:type="dxa" w:w="80"/>
              <w:left w:type="dxa" w:w="120"/>
              <w:bottom w:type="dxa" w:w="80"/>
              <w:right w:type="dxa" w:w="120"/>
            </w:tcMar>
          </w:tcPr>
          <w:p>
            <w:pPr>
              <w:spacing w:after="0" w:before="0" w:line="264"/>
            </w:pPr>
            <w:r>
              <w:rPr>
                <w:b w:val="false"/>
                <w:bCs w:val="false"/>
                <w:color w:val="334155"/>
                <w:sz w:val="20"/>
                <w:szCs w:val="20"/>
              </w:rPr>
              <w:t xml:space="preserve">By population: $2,400 per year under 5,000 residents, $4,800 up to 15,000, $9,000 up to 50,000, larger cities by quote. Alternatively 5 percent of online bookings billed monthly with no annual fee.</w:t>
            </w:r>
          </w:p>
        </w:tc>
      </w:tr>
      <w:tr>
        <w:trPr>
          <w:cantSplit/>
        </w:trPr>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Setup fee</w:t>
            </w:r>
          </w:p>
        </w:tc>
        <w:tc>
          <w:tcPr>
            <w:tcW w:type="dxa" w:w="6880"/>
            <w:tcMar>
              <w:top w:type="dxa" w:w="80"/>
              <w:left w:type="dxa" w:w="120"/>
              <w:bottom w:type="dxa" w:w="80"/>
              <w:right w:type="dxa" w:w="120"/>
            </w:tcMar>
          </w:tcPr>
          <w:p>
            <w:pPr>
              <w:spacing w:after="0" w:before="0" w:line="264"/>
            </w:pPr>
            <w:r>
              <w:rPr>
                <w:b w:val="false"/>
                <w:bCs w:val="false"/>
                <w:color w:val="334155"/>
                <w:sz w:val="20"/>
                <w:szCs w:val="20"/>
              </w:rPr>
              <w:t xml:space="preserve">None.</w:t>
            </w:r>
          </w:p>
        </w:tc>
      </w:tr>
      <w:tr>
        <w:trPr>
          <w:cantSplit/>
        </w:trPr>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Per-seat charges</w:t>
            </w:r>
          </w:p>
        </w:tc>
        <w:tc>
          <w:tcPr>
            <w:tcW w:type="dxa" w:w="6880"/>
            <w:tcMar>
              <w:top w:type="dxa" w:w="80"/>
              <w:left w:type="dxa" w:w="120"/>
              <w:bottom w:type="dxa" w:w="80"/>
              <w:right w:type="dxa" w:w="120"/>
            </w:tcMar>
          </w:tcPr>
          <w:p>
            <w:pPr>
              <w:spacing w:after="0" w:before="0" w:line="264"/>
            </w:pPr>
            <w:r>
              <w:rPr>
                <w:b w:val="false"/>
                <w:bCs w:val="false"/>
                <w:color w:val="334155"/>
                <w:sz w:val="20"/>
                <w:szCs w:val="20"/>
              </w:rPr>
              <w:t xml:space="preserve">None. Add as many staff users as the department needs.</w:t>
            </w:r>
          </w:p>
        </w:tc>
      </w:tr>
      <w:tr>
        <w:trPr>
          <w:cantSplit/>
        </w:trPr>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What is included</w:t>
            </w:r>
          </w:p>
        </w:tc>
        <w:tc>
          <w:tcPr>
            <w:tcW w:type="dxa" w:w="6880"/>
            <w:tcMar>
              <w:top w:type="dxa" w:w="80"/>
              <w:left w:type="dxa" w:w="120"/>
              <w:bottom w:type="dxa" w:w="80"/>
              <w:right w:type="dxa" w:w="120"/>
            </w:tcMar>
          </w:tcPr>
          <w:p>
            <w:pPr>
              <w:spacing w:after="0" w:before="0" w:line="264"/>
            </w:pPr>
            <w:r>
              <w:rPr>
                <w:b w:val="false"/>
                <w:bCs w:val="false"/>
                <w:color w:val="334155"/>
                <w:sz w:val="20"/>
                <w:szCs w:val="20"/>
              </w:rPr>
              <w:t xml:space="preserve">The entire product: reservations, event permits, deposits, the staff portal, the city's subdomain, email notifications, product updates, and support.</w:t>
            </w:r>
          </w:p>
        </w:tc>
      </w:tr>
      <w:tr>
        <w:trPr>
          <w:cantSplit/>
        </w:trPr>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Payment processing</w:t>
            </w:r>
          </w:p>
        </w:tc>
        <w:tc>
          <w:tcPr>
            <w:tcW w:type="dxa" w:w="6880"/>
            <w:tcMar>
              <w:top w:type="dxa" w:w="80"/>
              <w:left w:type="dxa" w:w="120"/>
              <w:bottom w:type="dxa" w:w="80"/>
              <w:right w:type="dxa" w:w="120"/>
            </w:tcMar>
          </w:tcPr>
          <w:p>
            <w:pPr>
              <w:spacing w:after="0" w:before="0" w:line="264"/>
            </w:pPr>
            <w:r>
              <w:rPr>
                <w:b w:val="false"/>
                <w:bCs w:val="false"/>
                <w:color w:val="334155"/>
                <w:sz w:val="20"/>
                <w:szCs w:val="20"/>
              </w:rPr>
              <w:t xml:space="preserve">Stripe's card fees are charged to the city directly by Stripe and are separate from either plan.</w:t>
            </w:r>
          </w:p>
        </w:tc>
      </w:tr>
    </w:tbl>
    <w:p>
      <w:pPr>
        <w:spacing w:after="120"/>
      </w:pPr>
    </w:p>
    <w:p>
      <w:pPr>
        <w:pStyle w:val="Heading1"/>
        <w:keepNext/>
        <w:spacing w:after="140" w:before="360"/>
      </w:pPr>
      <w:r>
        <w:rPr>
          <w:b/>
          <w:bCs/>
          <w:color w:val="1A3A5C"/>
          <w:sz w:val="26"/>
          <w:szCs w:val="26"/>
        </w:rPr>
        <w:t xml:space="preserve">Money and public funds</w:t>
      </w:r>
    </w:p>
    <w:p>
      <w:pPr>
        <w:pStyle w:val="ListParagraph"/>
        <w:numPr>
          <w:ilvl w:val="0"/>
          <w:numId w:val="2"/>
        </w:numPr>
        <w:spacing w:after="80" w:line="264"/>
      </w:pPr>
      <w:r>
        <w:rPr>
          <w:color w:val="334155"/>
          <w:sz w:val="20"/>
          <w:szCs w:val="20"/>
        </w:rPr>
        <w:t xml:space="preserve">The city connects its own Stripe account. Resident payments settle directly into the city's bank account.</w:t>
      </w:r>
    </w:p>
    <w:p>
      <w:pPr>
        <w:pStyle w:val="ListParagraph"/>
        <w:numPr>
          <w:ilvl w:val="0"/>
          <w:numId w:val="2"/>
        </w:numPr>
        <w:spacing w:after="80" w:line="264"/>
      </w:pPr>
      <w:r>
        <w:rPr>
          <w:color w:val="334155"/>
          <w:sz w:val="20"/>
          <w:szCs w:val="20"/>
        </w:rPr>
        <w:t xml:space="preserve">ParksPilot never holds, pools, or takes custody of public funds.</w:t>
      </w:r>
    </w:p>
    <w:p>
      <w:pPr>
        <w:pStyle w:val="ListParagraph"/>
        <w:numPr>
          <w:ilvl w:val="0"/>
          <w:numId w:val="2"/>
        </w:numPr>
        <w:spacing w:after="80" w:line="264"/>
      </w:pPr>
      <w:r>
        <w:rPr>
          <w:color w:val="334155"/>
          <w:sz w:val="20"/>
          <w:szCs w:val="20"/>
        </w:rPr>
        <w:t xml:space="preserve">Refunds, disputes, and payout reports are visible to the city in its own Stripe dashboard without going through us.</w:t>
      </w:r>
    </w:p>
    <w:p>
      <w:pPr>
        <w:pStyle w:val="ListParagraph"/>
        <w:numPr>
          <w:ilvl w:val="0"/>
          <w:numId w:val="2"/>
        </w:numPr>
        <w:spacing w:after="80" w:line="264"/>
      </w:pPr>
      <w:r>
        <w:rPr>
          <w:color w:val="334155"/>
          <w:sz w:val="20"/>
          <w:szCs w:val="20"/>
        </w:rPr>
        <w:t xml:space="preserve">Cardholder data is handled by Stripe and does not touch city systems or staff screens.</w:t>
      </w:r>
    </w:p>
    <w:p>
      <w:pPr>
        <w:spacing w:after="80"/>
      </w:pPr>
    </w:p>
    <w:p>
      <w:pPr>
        <w:pStyle w:val="Heading1"/>
        <w:keepNext/>
        <w:spacing w:after="140" w:before="360"/>
      </w:pPr>
      <w:r>
        <w:rPr>
          <w:b/>
          <w:bCs/>
          <w:color w:val="1A3A5C"/>
          <w:sz w:val="26"/>
          <w:szCs w:val="26"/>
        </w:rPr>
        <w:t xml:space="preserve">Data</w:t>
      </w:r>
    </w:p>
    <w:p>
      <w:pPr>
        <w:pStyle w:val="ListParagraph"/>
        <w:numPr>
          <w:ilvl w:val="0"/>
          <w:numId w:val="2"/>
        </w:numPr>
        <w:spacing w:after="80" w:line="264"/>
      </w:pPr>
      <w:r>
        <w:rPr>
          <w:color w:val="334155"/>
          <w:sz w:val="20"/>
          <w:szCs w:val="20"/>
        </w:rPr>
        <w:t xml:space="preserve">All data entered by the city and by its residents remains the property of the city.</w:t>
      </w:r>
    </w:p>
    <w:p>
      <w:pPr>
        <w:pStyle w:val="ListParagraph"/>
        <w:numPr>
          <w:ilvl w:val="0"/>
          <w:numId w:val="2"/>
        </w:numPr>
        <w:spacing w:after="80" w:line="264"/>
      </w:pPr>
      <w:r>
        <w:rPr>
          <w:color w:val="334155"/>
          <w:sz w:val="20"/>
          <w:szCs w:val="20"/>
        </w:rPr>
        <w:t xml:space="preserve">The city can export its data in a standard format at any time, at no charge, during the term and at termination.</w:t>
      </w:r>
    </w:p>
    <w:p>
      <w:pPr>
        <w:pStyle w:val="ListParagraph"/>
        <w:numPr>
          <w:ilvl w:val="0"/>
          <w:numId w:val="2"/>
        </w:numPr>
        <w:spacing w:after="80" w:line="264"/>
      </w:pPr>
      <w:r>
        <w:rPr>
          <w:color w:val="334155"/>
          <w:sz w:val="20"/>
          <w:szCs w:val="20"/>
        </w:rPr>
        <w:t xml:space="preserve">We do not sell, license, or share city or resident data with any third party, and we do not use resident contact information for our own marketing.</w:t>
      </w:r>
    </w:p>
    <w:p>
      <w:pPr>
        <w:pStyle w:val="ListParagraph"/>
        <w:numPr>
          <w:ilvl w:val="0"/>
          <w:numId w:val="2"/>
        </w:numPr>
        <w:spacing w:after="80" w:line="264"/>
      </w:pPr>
      <w:r>
        <w:rPr>
          <w:color w:val="334155"/>
          <w:sz w:val="20"/>
          <w:szCs w:val="20"/>
        </w:rPr>
        <w:t xml:space="preserve">Traffic is encrypted in transit and data is encrypted at rest. The application runs on Amazon Web Services.</w:t>
      </w:r>
    </w:p>
    <w:p>
      <w:pPr>
        <w:spacing w:after="80"/>
      </w:pPr>
    </w:p>
    <w:p>
      <w:pPr>
        <w:pStyle w:val="Heading1"/>
        <w:keepNext/>
        <w:spacing w:after="140" w:before="360"/>
      </w:pPr>
      <w:r>
        <w:rPr>
          <w:b/>
          <w:bCs/>
          <w:color w:val="1A3A5C"/>
          <w:sz w:val="26"/>
          <w:szCs w:val="26"/>
        </w:rPr>
        <w:t xml:space="preserve">Accessibility</w:t>
      </w:r>
    </w:p>
    <w:p>
      <w:pPr>
        <w:pStyle w:val="ListParagraph"/>
        <w:numPr>
          <w:ilvl w:val="0"/>
          <w:numId w:val="2"/>
        </w:numPr>
        <w:spacing w:after="80" w:line="264"/>
      </w:pPr>
      <w:r>
        <w:rPr>
          <w:color w:val="334155"/>
          <w:sz w:val="20"/>
          <w:szCs w:val="20"/>
        </w:rPr>
        <w:t xml:space="preserve">ParksPilot is built to conform to WCAG 2.1 Level AA, the standard the Department of Justice's 2024 rule under ADA Title II applies to state and local government web content.</w:t>
      </w:r>
    </w:p>
    <w:p>
      <w:pPr>
        <w:pStyle w:val="ListParagraph"/>
        <w:numPr>
          <w:ilvl w:val="0"/>
          <w:numId w:val="2"/>
        </w:numPr>
        <w:spacing w:after="80" w:line="264"/>
      </w:pPr>
      <w:r>
        <w:rPr>
          <w:color w:val="334155"/>
          <w:sz w:val="20"/>
          <w:szCs w:val="20"/>
        </w:rPr>
        <w:t xml:space="preserve">The production application was audited in August 2026 and the full Accessibility Conformance Report, in VPAT 2.5 format, is included in this package and published on our website.</w:t>
      </w:r>
    </w:p>
    <w:p>
      <w:pPr>
        <w:pStyle w:val="ListParagraph"/>
        <w:numPr>
          <w:ilvl w:val="0"/>
          <w:numId w:val="2"/>
        </w:numPr>
        <w:spacing w:after="80" w:line="264"/>
      </w:pPr>
      <w:r>
        <w:rPr>
          <w:color w:val="334155"/>
          <w:sz w:val="20"/>
          <w:szCs w:val="20"/>
        </w:rPr>
        <w:t xml:space="preserve">Conformance defects the city reports are treated as defects and remediated.</w:t>
      </w:r>
    </w:p>
    <w:p>
      <w:pPr>
        <w:spacing w:after="80"/>
      </w:pPr>
    </w:p>
    <w:p>
      <w:pPr>
        <w:pStyle w:val="Heading1"/>
        <w:keepNext/>
        <w:spacing w:after="140" w:before="360"/>
      </w:pPr>
      <w:r>
        <w:rPr>
          <w:b/>
          <w:bCs/>
          <w:color w:val="1A3A5C"/>
          <w:sz w:val="26"/>
          <w:szCs w:val="26"/>
        </w:rPr>
        <w:t xml:space="preserve">The vendor</w:t>
      </w:r>
    </w:p>
    <w:p>
      <w:pPr>
        <w:pStyle w:val="ListParagraph"/>
        <w:numPr>
          <w:ilvl w:val="0"/>
          <w:numId w:val="2"/>
        </w:numPr>
        <w:spacing w:after="80" w:line="264"/>
      </w:pPr>
      <w:r>
        <w:rPr>
          <w:color w:val="334155"/>
          <w:sz w:val="20"/>
          <w:szCs w:val="20"/>
        </w:rPr>
        <w:t xml:space="preserve">ParksPilot is built and operated by Kahnputers LLC, a Georgia company registered in the federal System for Award Management (SAM.gov). Unique Entity ID LLY1U4U224Y8, CAGE code 75MD3.</w:t>
      </w:r>
    </w:p>
    <w:p>
      <w:pPr>
        <w:pStyle w:val="ListParagraph"/>
        <w:numPr>
          <w:ilvl w:val="0"/>
          <w:numId w:val="2"/>
        </w:numPr>
        <w:spacing w:after="80" w:line="264"/>
      </w:pPr>
      <w:r>
        <w:rPr>
          <w:color w:val="334155"/>
          <w:sz w:val="20"/>
          <w:szCs w:val="20"/>
        </w:rPr>
        <w:t xml:space="preserve">Cities work directly with the people who build the product, in the same time zone.</w:t>
      </w:r>
    </w:p>
    <w:p>
      <w:pPr>
        <w:pStyle w:val="ListParagraph"/>
        <w:numPr>
          <w:ilvl w:val="0"/>
          <w:numId w:val="2"/>
        </w:numPr>
        <w:spacing w:after="80" w:line="264"/>
      </w:pPr>
      <w:r>
        <w:rPr>
          <w:color w:val="334155"/>
          <w:sz w:val="20"/>
          <w:szCs w:val="20"/>
        </w:rPr>
        <w:t xml:space="preserve">A completed W-9 and any vendor registration forms your city requires are provided on request.</w:t>
      </w:r>
    </w:p>
    <w:p>
      <w:pPr>
        <w:spacing w:after="80"/>
      </w:pPr>
    </w:p>
    <w:p>
      <w:pPr>
        <w:pStyle w:val="Heading1"/>
        <w:keepNext/>
        <w:spacing w:after="140" w:before="360"/>
      </w:pPr>
      <w:r>
        <w:rPr>
          <w:b/>
          <w:bCs/>
          <w:color w:val="1A3A5C"/>
          <w:sz w:val="26"/>
          <w:szCs w:val="26"/>
        </w:rPr>
        <w:t xml:space="preserve">What this summary does not cover</w:t>
      </w:r>
    </w:p>
    <w:p>
      <w:pPr>
        <w:spacing w:after="160" w:before="0" w:line="264"/>
      </w:pPr>
      <w:r>
        <w:rPr>
          <w:color w:val="334155"/>
          <w:sz w:val="20"/>
          <w:szCs w:val="20"/>
        </w:rPr>
        <w:t xml:space="preserve">Limitation of liability, indemnification, governing law, insurance limits, service level commitments, notice periods, and the mechanics of suspension and termination are all set out in the services agreement. They are ordinary provisions and they are negotiable within reason, and they are exactly the parts your attorney should read rather than a summary of them. The agreement is document 5 in this package.</w:t>
      </w:r>
    </w:p>
    <w:p>
      <w:pPr>
        <w:pBdr>
          <w:top w:val="single" w:color="D6DCE4" w:sz="6" w:space="12"/>
        </w:pBdr>
        <w:spacing w:before="480"/>
      </w:pPr>
      <w:r>
        <w:rPr>
          <w:i/>
          <w:iCs/>
          <w:color w:val="64748B"/>
          <w:sz w:val="18"/>
          <w:szCs w:val="18"/>
        </w:rPr>
        <w:t xml:space="preserve">Kahnputers LLC, maker of ParksPilot. www.parkspilot.com  parks@parkspilot.com  Georgia, USA. Registered in the federal System for Award Management (SAM.gov).</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4A3B8"/>
        <w:sz w:val="16"/>
        <w:szCs w:val="16"/>
      </w:rPr>
      <w:t xml:space="preserve">Page </w:t>
    </w:r>
    <w:r>
      <w:rPr>
        <w:color w:val="94A3B8"/>
        <w:sz w:val="16"/>
        <w:szCs w:val="16"/>
      </w:rPr>
      <w:fldChar w:fldCharType="begin"/>
      <w:instrText xml:space="preserve">PAGE</w:instrText>
      <w:fldChar w:fldCharType="separate"/>
      <w:fldChar w:fldCharType="end"/>
    </w:r>
    <w:r>
      <w:rPr>
        <w:color w:val="94A3B8"/>
        <w:sz w:val="16"/>
        <w:szCs w:val="16"/>
      </w:rPr>
      <w:t xml:space="preserve"> of </w:t>
    </w:r>
    <w:r>
      <w:rPr>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contract terms at a glance</dc:title>
  <dc:creator>Kahnputers LLC</dc:creator>
  <dc:description>ParksPilot, by Kahnputers LLC</dc:description>
  <cp:lastModifiedBy>Un-named</cp:lastModifiedBy>
  <cp:revision>1</cp:revision>
  <dcterms:created xsi:type="dcterms:W3CDTF">2026-08-23T21:36:17.145Z</dcterms:created>
  <dcterms:modified xsi:type="dcterms:W3CDTF">2026-08-23T21:36:17.145Z</dcterms:modified>
</cp:coreProperties>
</file>

<file path=docProps/custom.xml><?xml version="1.0" encoding="utf-8"?>
<Properties xmlns="http://schemas.openxmlformats.org/officeDocument/2006/custom-properties" xmlns:vt="http://schemas.openxmlformats.org/officeDocument/2006/docPropsVTypes"/>
</file>