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2E9E6B"/>
          <w:sz w:val="20"/>
          <w:szCs w:val="20"/>
        </w:rPr>
        <w:t xml:space="preserve">SAMPLE AGREEMENT</w:t>
      </w:r>
    </w:p>
    <w:p>
      <w:pPr>
        <w:spacing w:after="80"/>
      </w:pPr>
      <w:r>
        <w:rPr>
          <w:b/>
          <w:bCs/>
          <w:color w:val="1A3A5C"/>
          <w:sz w:val="32"/>
          <w:szCs w:val="32"/>
        </w:rPr>
        <w:t xml:space="preserve">Municipal software services agreement</w:t>
      </w:r>
    </w:p>
    <w:p>
      <w:pPr>
        <w:spacing w:after="40"/>
      </w:pPr>
      <w:r>
        <w:rPr>
          <w:color w:val="1A3A5C"/>
          <w:sz w:val="24"/>
          <w:szCs w:val="24"/>
        </w:rPr>
        <w:t xml:space="preserve">Kahnputers LLC, doing business as ParksPilot</w:t>
      </w:r>
    </w:p>
    <w:p>
      <w:pPr>
        <w:pBdr>
          <w:bottom w:val="single" w:color="D6DCE4" w:sz="6" w:space="8"/>
        </w:pBdr>
        <w:spacing w:after="320"/>
      </w:pPr>
      <w:r>
        <w:rPr>
          <w:color w:val="64748B"/>
          <w:sz w:val="20"/>
          <w:szCs w:val="20"/>
        </w:rPr>
        <w:t xml:space="preserve">A negotiation starting point for Georgia municipalities. Sample only. August 2026.</w:t>
      </w:r>
    </w:p>
    <w:p>
      <w:pPr>
        <w:pBdr>
          <w:left w:val="single" w:color="2E9E6B" w:sz="18" w:space="8"/>
        </w:pBdr>
        <w:shd w:fill="F1F5F9" w:color="auto" w:val="clear"/>
        <w:spacing w:after="320" w:before="120"/>
      </w:pPr>
      <w:r>
        <w:rPr>
          <w:i/>
          <w:iCs/>
          <w:color w:val="475569"/>
          <w:sz w:val="20"/>
          <w:szCs w:val="20"/>
        </w:rPr>
        <w:t xml:space="preserve">Sample for discussion purposes only. This is not an offer, not a binding agreement, and not legal advice. It has not been reviewed by outside counsel, ours or yours. Your city attorney should review it, and your city's procurement requirements, insurance requirements, public-records provisions, payment procedures, and charter or ordinance requirements should be reflected before anything is signed. We publish it early rather than late so your attorney can start reading now instead of after you have chosen a vendor.</w:t>
      </w:r>
    </w:p>
    <w:p>
      <w:pPr>
        <w:spacing w:after="160" w:before="0" w:line="264"/>
      </w:pPr>
      <w:r>
        <w:rPr>
          <w:color w:val="334155"/>
          <w:sz w:val="20"/>
          <w:szCs w:val="20"/>
        </w:rPr>
        <w:t xml:space="preserve">This Municipal Software Services Agreement (the “Agreement”) is entered into as of ________________, 20___ (the “Effective Date”) by and between Kahnputers LLC, a Georgia limited liability company, doing business as ParksPilot (“ParksPilot”), and ____________________________________________, a Georgia municipal corporation (“City”). ParksPilot and City may each be a “Party” and together the “Parties.”</w:t>
      </w:r>
    </w:p>
    <w:tbl>
      <w:tblPr>
        <w:tblW w:type="dxa" w:w="10080"/>
        <w:tblBorders>
          <w:top w:val="single" w:color="D6DCE4" w:sz="4"/>
          <w:left w:val="single" w:color="D6DCE4" w:sz="4"/>
          <w:bottom w:val="single" w:color="D6DCE4" w:sz="4"/>
          <w:right w:val="single" w:color="D6DCE4" w:sz="4"/>
          <w:insideH w:val="single" w:color="D6DCE4" w:sz="4"/>
          <w:insideV w:val="single" w:color="D6DCE4" w:sz="4"/>
        </w:tblBorders>
      </w:tblPr>
      <w:tblGrid>
        <w:gridCol w:w="3400"/>
        <w:gridCol w:w="6680"/>
      </w:tblGrid>
      <w:tr>
        <w:trPr>
          <w:tblHeader/>
        </w:trPr>
        <w:tc>
          <w:tcPr>
            <w:tcW w:type="dxa" w:w="3400"/>
            <w:shd w:fill="F1F5F9" w:color="auto" w:val="clear"/>
            <w:tcMar>
              <w:top w:type="dxa" w:w="80"/>
              <w:left w:type="dxa" w:w="120"/>
              <w:bottom w:type="dxa" w:w="80"/>
              <w:right w:type="dxa" w:w="120"/>
            </w:tcMar>
          </w:tcPr>
          <w:p>
            <w:pPr>
              <w:spacing w:after="0" w:before="0" w:line="264"/>
            </w:pPr>
            <w:r>
              <w:rPr>
                <w:b/>
                <w:bCs/>
                <w:color w:val="1A3A5C"/>
                <w:sz w:val="20"/>
                <w:szCs w:val="20"/>
              </w:rPr>
              <w:t xml:space="preserve">Item</w:t>
            </w:r>
          </w:p>
        </w:tc>
        <w:tc>
          <w:tcPr>
            <w:tcW w:type="dxa" w:w="6680"/>
            <w:shd w:fill="F1F5F9" w:color="auto" w:val="clear"/>
            <w:tcMar>
              <w:top w:type="dxa" w:w="80"/>
              <w:left w:type="dxa" w:w="120"/>
              <w:bottom w:type="dxa" w:w="80"/>
              <w:right w:type="dxa" w:w="120"/>
            </w:tcMar>
          </w:tcPr>
          <w:p>
            <w:pPr>
              <w:spacing w:after="0" w:before="0" w:line="264"/>
            </w:pPr>
            <w:r>
              <w:rPr>
                <w:b/>
                <w:bCs/>
                <w:color w:val="1A3A5C"/>
                <w:sz w:val="20"/>
                <w:szCs w:val="20"/>
              </w:rPr>
              <w:t xml:space="preserve">Detail</w:t>
            </w:r>
          </w:p>
        </w:tc>
      </w:tr>
      <w:tr>
        <w:trPr>
          <w:cantSplit/>
        </w:trPr>
        <w:tc>
          <w:tcPr>
            <w:tcW w:type="dxa" w:w="3400"/>
            <w:tcMar>
              <w:top w:type="dxa" w:w="80"/>
              <w:left w:type="dxa" w:w="120"/>
              <w:bottom w:type="dxa" w:w="80"/>
              <w:right w:type="dxa" w:w="120"/>
            </w:tcMar>
          </w:tcPr>
          <w:p>
            <w:pPr>
              <w:spacing w:after="0" w:before="0" w:line="264"/>
            </w:pPr>
            <w:r>
              <w:rPr>
                <w:b w:val="false"/>
                <w:bCs w:val="false"/>
                <w:color w:val="334155"/>
                <w:sz w:val="20"/>
                <w:szCs w:val="20"/>
              </w:rPr>
              <w:t xml:space="preserve">City</w:t>
            </w:r>
          </w:p>
        </w:tc>
        <w:tc>
          <w:tcPr>
            <w:tcW w:type="dxa" w:w="6680"/>
            <w:tcMar>
              <w:top w:type="dxa" w:w="80"/>
              <w:left w:type="dxa" w:w="120"/>
              <w:bottom w:type="dxa" w:w="80"/>
              <w:right w:type="dxa" w:w="120"/>
            </w:tcMar>
          </w:tcPr>
          <w:p>
            <w:pPr>
              <w:spacing w:after="0" w:before="0" w:line="264"/>
            </w:pPr>
            <w:r>
              <w:rPr>
                <w:b w:val="false"/>
                <w:bCs w:val="false"/>
                <w:color w:val="334155"/>
                <w:sz w:val="20"/>
                <w:szCs w:val="20"/>
              </w:rPr>
              <w:t xml:space="preserve">____________________________</w:t>
            </w:r>
          </w:p>
        </w:tc>
      </w:tr>
      <w:tr>
        <w:trPr>
          <w:cantSplit/>
        </w:trPr>
        <w:tc>
          <w:tcPr>
            <w:tcW w:type="dxa" w:w="3400"/>
            <w:tcMar>
              <w:top w:type="dxa" w:w="80"/>
              <w:left w:type="dxa" w:w="120"/>
              <w:bottom w:type="dxa" w:w="80"/>
              <w:right w:type="dxa" w:w="120"/>
            </w:tcMar>
          </w:tcPr>
          <w:p>
            <w:pPr>
              <w:spacing w:after="0" w:before="0" w:line="264"/>
            </w:pPr>
            <w:r>
              <w:rPr>
                <w:b w:val="false"/>
                <w:bCs w:val="false"/>
                <w:color w:val="334155"/>
                <w:sz w:val="20"/>
                <w:szCs w:val="20"/>
              </w:rPr>
              <w:t xml:space="preserve">Selected plan</w:t>
            </w:r>
          </w:p>
        </w:tc>
        <w:tc>
          <w:tcPr>
            <w:tcW w:type="dxa" w:w="6680"/>
            <w:tcMar>
              <w:top w:type="dxa" w:w="80"/>
              <w:left w:type="dxa" w:w="120"/>
              <w:bottom w:type="dxa" w:w="80"/>
              <w:right w:type="dxa" w:w="120"/>
            </w:tcMar>
          </w:tcPr>
          <w:p>
            <w:pPr>
              <w:spacing w:after="0" w:before="0" w:line="264"/>
            </w:pPr>
            <w:r>
              <w:rPr>
                <w:b w:val="false"/>
                <w:bCs w:val="false"/>
                <w:color w:val="334155"/>
                <w:sz w:val="20"/>
                <w:szCs w:val="20"/>
              </w:rPr>
              <w:t xml:space="preserve">Annual Plan  /  Pay-as-You-Go  (circle one)</w:t>
            </w:r>
          </w:p>
        </w:tc>
      </w:tr>
      <w:tr>
        <w:trPr>
          <w:cantSplit/>
        </w:trPr>
        <w:tc>
          <w:tcPr>
            <w:tcW w:type="dxa" w:w="3400"/>
            <w:tcMar>
              <w:top w:type="dxa" w:w="80"/>
              <w:left w:type="dxa" w:w="120"/>
              <w:bottom w:type="dxa" w:w="80"/>
              <w:right w:type="dxa" w:w="120"/>
            </w:tcMar>
          </w:tcPr>
          <w:p>
            <w:pPr>
              <w:spacing w:after="0" w:before="0" w:line="264"/>
            </w:pPr>
            <w:r>
              <w:rPr>
                <w:b w:val="false"/>
                <w:bCs w:val="false"/>
                <w:color w:val="334155"/>
                <w:sz w:val="20"/>
                <w:szCs w:val="20"/>
              </w:rPr>
              <w:t xml:space="preserve">Initial term</w:t>
            </w:r>
          </w:p>
        </w:tc>
        <w:tc>
          <w:tcPr>
            <w:tcW w:type="dxa" w:w="6680"/>
            <w:tcMar>
              <w:top w:type="dxa" w:w="80"/>
              <w:left w:type="dxa" w:w="120"/>
              <w:bottom w:type="dxa" w:w="80"/>
              <w:right w:type="dxa" w:w="120"/>
            </w:tcMar>
          </w:tcPr>
          <w:p>
            <w:pPr>
              <w:spacing w:after="0" w:before="0" w:line="264"/>
            </w:pPr>
            <w:r>
              <w:rPr>
                <w:b w:val="false"/>
                <w:bCs w:val="false"/>
                <w:color w:val="334155"/>
                <w:sz w:val="20"/>
                <w:szCs w:val="20"/>
              </w:rPr>
              <w:t xml:space="preserve">One (1) year</w:t>
            </w:r>
          </w:p>
        </w:tc>
      </w:tr>
      <w:tr>
        <w:trPr>
          <w:cantSplit/>
        </w:trPr>
        <w:tc>
          <w:tcPr>
            <w:tcW w:type="dxa" w:w="3400"/>
            <w:tcMar>
              <w:top w:type="dxa" w:w="80"/>
              <w:left w:type="dxa" w:w="120"/>
              <w:bottom w:type="dxa" w:w="80"/>
              <w:right w:type="dxa" w:w="120"/>
            </w:tcMar>
          </w:tcPr>
          <w:p>
            <w:pPr>
              <w:spacing w:after="0" w:before="0" w:line="264"/>
            </w:pPr>
            <w:r>
              <w:rPr>
                <w:b w:val="false"/>
                <w:bCs w:val="false"/>
                <w:color w:val="334155"/>
                <w:sz w:val="20"/>
                <w:szCs w:val="20"/>
              </w:rPr>
              <w:t xml:space="preserve">City website or subdomain</w:t>
            </w:r>
          </w:p>
        </w:tc>
        <w:tc>
          <w:tcPr>
            <w:tcW w:type="dxa" w:w="6680"/>
            <w:tcMar>
              <w:top w:type="dxa" w:w="80"/>
              <w:left w:type="dxa" w:w="120"/>
              <w:bottom w:type="dxa" w:w="80"/>
              <w:right w:type="dxa" w:w="120"/>
            </w:tcMar>
          </w:tcPr>
          <w:p>
            <w:pPr>
              <w:spacing w:after="0" w:before="0" w:line="264"/>
            </w:pPr>
            <w:r>
              <w:rPr>
                <w:b w:val="false"/>
                <w:bCs w:val="false"/>
                <w:color w:val="334155"/>
                <w:sz w:val="20"/>
                <w:szCs w:val="20"/>
              </w:rPr>
              <w:t xml:space="preserve">____________________________</w:t>
            </w:r>
          </w:p>
        </w:tc>
      </w:tr>
      <w:tr>
        <w:trPr>
          <w:cantSplit/>
        </w:trPr>
        <w:tc>
          <w:tcPr>
            <w:tcW w:type="dxa" w:w="3400"/>
            <w:tcMar>
              <w:top w:type="dxa" w:w="80"/>
              <w:left w:type="dxa" w:w="120"/>
              <w:bottom w:type="dxa" w:w="80"/>
              <w:right w:type="dxa" w:w="120"/>
            </w:tcMar>
          </w:tcPr>
          <w:p>
            <w:pPr>
              <w:spacing w:after="0" w:before="0" w:line="264"/>
            </w:pPr>
            <w:r>
              <w:rPr>
                <w:b w:val="false"/>
                <w:bCs w:val="false"/>
                <w:color w:val="334155"/>
                <w:sz w:val="20"/>
                <w:szCs w:val="20"/>
              </w:rPr>
              <w:t xml:space="preserve">Primary City contact</w:t>
            </w:r>
          </w:p>
        </w:tc>
        <w:tc>
          <w:tcPr>
            <w:tcW w:type="dxa" w:w="6680"/>
            <w:tcMar>
              <w:top w:type="dxa" w:w="80"/>
              <w:left w:type="dxa" w:w="120"/>
              <w:bottom w:type="dxa" w:w="80"/>
              <w:right w:type="dxa" w:w="120"/>
            </w:tcMar>
          </w:tcPr>
          <w:p>
            <w:pPr>
              <w:spacing w:after="0" w:before="0" w:line="264"/>
            </w:pPr>
            <w:r>
              <w:rPr>
                <w:b w:val="false"/>
                <w:bCs w:val="false"/>
                <w:color w:val="334155"/>
                <w:sz w:val="20"/>
                <w:szCs w:val="20"/>
              </w:rPr>
              <w:t xml:space="preserve">____________________________</w:t>
            </w:r>
          </w:p>
        </w:tc>
      </w:tr>
    </w:tbl>
    <w:p>
      <w:pPr>
        <w:spacing w:after="120"/>
      </w:pPr>
    </w:p>
    <w:p>
      <w:pPr>
        <w:pStyle w:val="Heading1"/>
        <w:keepNext/>
        <w:spacing w:after="140" w:before="360"/>
      </w:pPr>
      <w:r>
        <w:rPr>
          <w:b/>
          <w:bCs/>
          <w:color w:val="1A3A5C"/>
          <w:sz w:val="26"/>
          <w:szCs w:val="26"/>
        </w:rPr>
        <w:t xml:space="preserve">1. Services</w:t>
      </w:r>
    </w:p>
    <w:p>
      <w:pPr>
        <w:spacing w:after="160" w:before="0" w:line="264"/>
      </w:pPr>
      <w:r>
        <w:rPr>
          <w:color w:val="334155"/>
          <w:sz w:val="20"/>
          <w:szCs w:val="20"/>
        </w:rPr>
        <w:t xml:space="preserve">ParksPilot will provide City access to its hosted ParksPilot software service for municipal facility reservations, event permit applications, deposits/payments, and related staff administration. The service may include:</w:t>
      </w:r>
    </w:p>
    <w:p>
      <w:pPr>
        <w:pStyle w:val="ListParagraph"/>
        <w:numPr>
          <w:ilvl w:val="0"/>
          <w:numId w:val="2"/>
        </w:numPr>
        <w:spacing w:after="80" w:line="264"/>
      </w:pPr>
      <w:r>
        <w:rPr>
          <w:color w:val="334155"/>
          <w:sz w:val="20"/>
          <w:szCs w:val="20"/>
        </w:rPr>
        <w:t xml:space="preserve">Public facility listings with photos, rates, amenities, rules, and hours.</w:t>
      </w:r>
    </w:p>
    <w:p>
      <w:pPr>
        <w:pStyle w:val="ListParagraph"/>
        <w:numPr>
          <w:ilvl w:val="0"/>
          <w:numId w:val="2"/>
        </w:numPr>
        <w:spacing w:after="80" w:line="264"/>
      </w:pPr>
      <w:r>
        <w:rPr>
          <w:color w:val="334155"/>
          <w:sz w:val="20"/>
          <w:szCs w:val="20"/>
        </w:rPr>
        <w:t xml:space="preserve">Live availability calendars and online reservation requests/bookings.</w:t>
      </w:r>
    </w:p>
    <w:p>
      <w:pPr>
        <w:pStyle w:val="ListParagraph"/>
        <w:numPr>
          <w:ilvl w:val="0"/>
          <w:numId w:val="2"/>
        </w:numPr>
        <w:spacing w:after="80" w:line="264"/>
      </w:pPr>
      <w:r>
        <w:rPr>
          <w:color w:val="334155"/>
          <w:sz w:val="20"/>
          <w:szCs w:val="20"/>
        </w:rPr>
        <w:t xml:space="preserve">Refundable deposits and other payments processed through Stripe.</w:t>
      </w:r>
    </w:p>
    <w:p>
      <w:pPr>
        <w:pStyle w:val="ListParagraph"/>
        <w:numPr>
          <w:ilvl w:val="0"/>
          <w:numId w:val="2"/>
        </w:numPr>
        <w:spacing w:after="80" w:line="264"/>
      </w:pPr>
      <w:r>
        <w:rPr>
          <w:color w:val="334155"/>
          <w:sz w:val="20"/>
          <w:szCs w:val="20"/>
        </w:rPr>
        <w:t xml:space="preserve">Event permit applications and a staff review/approval workflow.</w:t>
      </w:r>
    </w:p>
    <w:p>
      <w:pPr>
        <w:pStyle w:val="ListParagraph"/>
        <w:numPr>
          <w:ilvl w:val="0"/>
          <w:numId w:val="2"/>
        </w:numPr>
        <w:spacing w:after="80" w:line="264"/>
      </w:pPr>
      <w:r>
        <w:rPr>
          <w:color w:val="334155"/>
          <w:sz w:val="20"/>
          <w:szCs w:val="20"/>
        </w:rPr>
        <w:t xml:space="preserve">A City-specific staff portal for reservations, permits, facilities, closures, team access, and reporting.</w:t>
      </w:r>
    </w:p>
    <w:p>
      <w:pPr>
        <w:pStyle w:val="ListParagraph"/>
        <w:numPr>
          <w:ilvl w:val="0"/>
          <w:numId w:val="2"/>
        </w:numPr>
        <w:spacing w:after="80" w:line="264"/>
      </w:pPr>
      <w:r>
        <w:rPr>
          <w:color w:val="334155"/>
          <w:sz w:val="20"/>
          <w:szCs w:val="20"/>
        </w:rPr>
        <w:t xml:space="preserve">Automated resident confirmations and City-branded email notifications.</w:t>
      </w:r>
    </w:p>
    <w:p>
      <w:pPr>
        <w:pStyle w:val="ListParagraph"/>
        <w:numPr>
          <w:ilvl w:val="0"/>
          <w:numId w:val="2"/>
        </w:numPr>
        <w:spacing w:after="80" w:line="264"/>
      </w:pPr>
      <w:r>
        <w:rPr>
          <w:color w:val="334155"/>
          <w:sz w:val="20"/>
          <w:szCs w:val="20"/>
        </w:rPr>
        <w:t xml:space="preserve">A City-specific ParksPilot subdomain and City branding.</w:t>
      </w:r>
    </w:p>
    <w:p>
      <w:pPr>
        <w:spacing w:after="80"/>
      </w:pPr>
    </w:p>
    <w:p>
      <w:pPr>
        <w:pStyle w:val="Heading1"/>
        <w:keepNext/>
        <w:spacing w:after="140" w:before="360"/>
      </w:pPr>
      <w:r>
        <w:rPr>
          <w:b/>
          <w:bCs/>
          <w:color w:val="1A3A5C"/>
          <w:sz w:val="26"/>
          <w:szCs w:val="26"/>
        </w:rPr>
        <w:t xml:space="preserve">2. Implementation and City responsibilities</w:t>
      </w:r>
    </w:p>
    <w:p>
      <w:pPr>
        <w:spacing w:after="160" w:before="0" w:line="264"/>
      </w:pPr>
      <w:r>
        <w:rPr>
          <w:color w:val="334155"/>
          <w:sz w:val="20"/>
          <w:szCs w:val="20"/>
        </w:rPr>
        <w:t xml:space="preserve">ParksPilot will configure the service using materials supplied by City. A typical implementation target is one to two weeks after ParksPilot receives complete setup information. City will provide, as applicable, facility information, photos, rates, deposits, operating hours, rules, existing future reservations, staff users, branding, and permit types. City is responsible for the accuracy and legality of information, rates, policies, and content it supplies.</w:t>
      </w:r>
    </w:p>
    <w:p>
      <w:pPr>
        <w:pStyle w:val="Heading1"/>
        <w:keepNext/>
        <w:spacing w:after="140" w:before="360"/>
      </w:pPr>
      <w:r>
        <w:rPr>
          <w:b/>
          <w:bCs/>
          <w:color w:val="1A3A5C"/>
          <w:sz w:val="26"/>
          <w:szCs w:val="26"/>
        </w:rPr>
        <w:t xml:space="preserve">3. Fees and payment</w:t>
      </w:r>
    </w:p>
    <w:p>
      <w:pPr>
        <w:spacing w:after="160" w:before="0" w:line="264"/>
      </w:pPr>
      <w:r>
        <w:rPr>
          <w:color w:val="334155"/>
          <w:sz w:val="20"/>
          <w:szCs w:val="20"/>
        </w:rPr>
        <w:t xml:space="preserve">City will select one of the following pricing options. Stripe card-processing fees are separate from ParksPilot fees.</w:t>
      </w:r>
    </w:p>
    <w:tbl>
      <w:tblPr>
        <w:tblW w:type="dxa" w:w="10080"/>
        <w:tblBorders>
          <w:top w:val="single" w:color="D6DCE4" w:sz="4"/>
          <w:left w:val="single" w:color="D6DCE4" w:sz="4"/>
          <w:bottom w:val="single" w:color="D6DCE4" w:sz="4"/>
          <w:right w:val="single" w:color="D6DCE4" w:sz="4"/>
          <w:insideH w:val="single" w:color="D6DCE4" w:sz="4"/>
          <w:insideV w:val="single" w:color="D6DCE4" w:sz="4"/>
        </w:tblBorders>
      </w:tblPr>
      <w:tblGrid>
        <w:gridCol w:w="2600"/>
        <w:gridCol w:w="4400"/>
        <w:gridCol w:w="3080"/>
      </w:tblGrid>
      <w:tr>
        <w:trPr>
          <w:tblHeader/>
        </w:trPr>
        <w:tc>
          <w:tcPr>
            <w:tcW w:type="dxa" w:w="2600"/>
            <w:shd w:fill="F1F5F9" w:color="auto" w:val="clear"/>
            <w:tcMar>
              <w:top w:type="dxa" w:w="80"/>
              <w:left w:type="dxa" w:w="120"/>
              <w:bottom w:type="dxa" w:w="80"/>
              <w:right w:type="dxa" w:w="120"/>
            </w:tcMar>
          </w:tcPr>
          <w:p>
            <w:pPr>
              <w:spacing w:after="0" w:before="0" w:line="264"/>
            </w:pPr>
            <w:r>
              <w:rPr>
                <w:b/>
                <w:bCs/>
                <w:color w:val="1A3A5C"/>
                <w:sz w:val="20"/>
                <w:szCs w:val="20"/>
              </w:rPr>
              <w:t xml:space="preserve">Plan</w:t>
            </w:r>
          </w:p>
        </w:tc>
        <w:tc>
          <w:tcPr>
            <w:tcW w:type="dxa" w:w="4400"/>
            <w:shd w:fill="F1F5F9" w:color="auto" w:val="clear"/>
            <w:tcMar>
              <w:top w:type="dxa" w:w="80"/>
              <w:left w:type="dxa" w:w="120"/>
              <w:bottom w:type="dxa" w:w="80"/>
              <w:right w:type="dxa" w:w="120"/>
            </w:tcMar>
          </w:tcPr>
          <w:p>
            <w:pPr>
              <w:spacing w:after="0" w:before="0" w:line="264"/>
            </w:pPr>
            <w:r>
              <w:rPr>
                <w:b/>
                <w:bCs/>
                <w:color w:val="1A3A5C"/>
                <w:sz w:val="20"/>
                <w:szCs w:val="20"/>
              </w:rPr>
              <w:t xml:space="preserve">Population</w:t>
            </w:r>
          </w:p>
        </w:tc>
        <w:tc>
          <w:tcPr>
            <w:tcW w:type="dxa" w:w="3080"/>
            <w:shd w:fill="F1F5F9" w:color="auto" w:val="clear"/>
            <w:tcMar>
              <w:top w:type="dxa" w:w="80"/>
              <w:left w:type="dxa" w:w="120"/>
              <w:bottom w:type="dxa" w:w="80"/>
              <w:right w:type="dxa" w:w="120"/>
            </w:tcMar>
          </w:tcPr>
          <w:p>
            <w:pPr>
              <w:spacing w:after="0" w:before="0" w:line="264"/>
            </w:pPr>
            <w:r>
              <w:rPr>
                <w:b/>
                <w:bCs/>
                <w:color w:val="1A3A5C"/>
                <w:sz w:val="20"/>
                <w:szCs w:val="20"/>
              </w:rPr>
              <w:t xml:space="preserve">Fee</w:t>
            </w:r>
          </w:p>
        </w:tc>
      </w:tr>
      <w:tr>
        <w:trPr>
          <w:cantSplit/>
        </w:trPr>
        <w:tc>
          <w:tcPr>
            <w:tcW w:type="dxa" w:w="2600"/>
            <w:tcMar>
              <w:top w:type="dxa" w:w="80"/>
              <w:left w:type="dxa" w:w="120"/>
              <w:bottom w:type="dxa" w:w="80"/>
              <w:right w:type="dxa" w:w="120"/>
            </w:tcMar>
          </w:tcPr>
          <w:p>
            <w:pPr>
              <w:spacing w:after="0" w:before="0" w:line="264"/>
            </w:pPr>
            <w:r>
              <w:rPr>
                <w:b w:val="false"/>
                <w:bCs w:val="false"/>
                <w:color w:val="334155"/>
                <w:sz w:val="20"/>
                <w:szCs w:val="20"/>
              </w:rPr>
              <w:t xml:space="preserve">Annual Plan</w:t>
            </w:r>
          </w:p>
        </w:tc>
        <w:tc>
          <w:tcPr>
            <w:tcW w:type="dxa" w:w="4400"/>
            <w:tcMar>
              <w:top w:type="dxa" w:w="80"/>
              <w:left w:type="dxa" w:w="120"/>
              <w:bottom w:type="dxa" w:w="80"/>
              <w:right w:type="dxa" w:w="120"/>
            </w:tcMar>
          </w:tcPr>
          <w:p>
            <w:pPr>
              <w:spacing w:after="0" w:before="0" w:line="264"/>
            </w:pPr>
            <w:r>
              <w:rPr>
                <w:b w:val="false"/>
                <w:bCs w:val="false"/>
                <w:color w:val="334155"/>
                <w:sz w:val="20"/>
                <w:szCs w:val="20"/>
              </w:rPr>
              <w:t xml:space="preserve">Under 5,000 residents</w:t>
            </w:r>
          </w:p>
        </w:tc>
        <w:tc>
          <w:tcPr>
            <w:tcW w:type="dxa" w:w="3080"/>
            <w:tcMar>
              <w:top w:type="dxa" w:w="80"/>
              <w:left w:type="dxa" w:w="120"/>
              <w:bottom w:type="dxa" w:w="80"/>
              <w:right w:type="dxa" w:w="120"/>
            </w:tcMar>
          </w:tcPr>
          <w:p>
            <w:pPr>
              <w:spacing w:after="0" w:before="0" w:line="264"/>
            </w:pPr>
            <w:r>
              <w:rPr>
                <w:b w:val="false"/>
                <w:bCs w:val="false"/>
                <w:color w:val="334155"/>
                <w:sz w:val="20"/>
                <w:szCs w:val="20"/>
              </w:rPr>
              <w:t xml:space="preserve">$2,400 per year</w:t>
            </w:r>
          </w:p>
        </w:tc>
      </w:tr>
      <w:tr>
        <w:trPr>
          <w:cantSplit/>
        </w:trPr>
        <w:tc>
          <w:tcPr>
            <w:tcW w:type="dxa" w:w="2600"/>
            <w:tcMar>
              <w:top w:type="dxa" w:w="80"/>
              <w:left w:type="dxa" w:w="120"/>
              <w:bottom w:type="dxa" w:w="80"/>
              <w:right w:type="dxa" w:w="120"/>
            </w:tcMar>
          </w:tcPr>
          <w:p>
            <w:pPr>
              <w:spacing w:after="0" w:before="0" w:line="264"/>
            </w:pPr>
            <w:r>
              <w:rPr>
                <w:b w:val="false"/>
                <w:bCs w:val="false"/>
                <w:color w:val="334155"/>
                <w:sz w:val="20"/>
                <w:szCs w:val="20"/>
              </w:rPr>
              <w:t xml:space="preserve">Annual Plan</w:t>
            </w:r>
          </w:p>
        </w:tc>
        <w:tc>
          <w:tcPr>
            <w:tcW w:type="dxa" w:w="4400"/>
            <w:tcMar>
              <w:top w:type="dxa" w:w="80"/>
              <w:left w:type="dxa" w:w="120"/>
              <w:bottom w:type="dxa" w:w="80"/>
              <w:right w:type="dxa" w:w="120"/>
            </w:tcMar>
          </w:tcPr>
          <w:p>
            <w:pPr>
              <w:spacing w:after="0" w:before="0" w:line="264"/>
            </w:pPr>
            <w:r>
              <w:rPr>
                <w:b w:val="false"/>
                <w:bCs w:val="false"/>
                <w:color w:val="334155"/>
                <w:sz w:val="20"/>
                <w:szCs w:val="20"/>
              </w:rPr>
              <w:t xml:space="preserve">5,000 to 15,000 residents</w:t>
            </w:r>
          </w:p>
        </w:tc>
        <w:tc>
          <w:tcPr>
            <w:tcW w:type="dxa" w:w="3080"/>
            <w:tcMar>
              <w:top w:type="dxa" w:w="80"/>
              <w:left w:type="dxa" w:w="120"/>
              <w:bottom w:type="dxa" w:w="80"/>
              <w:right w:type="dxa" w:w="120"/>
            </w:tcMar>
          </w:tcPr>
          <w:p>
            <w:pPr>
              <w:spacing w:after="0" w:before="0" w:line="264"/>
            </w:pPr>
            <w:r>
              <w:rPr>
                <w:b w:val="false"/>
                <w:bCs w:val="false"/>
                <w:color w:val="334155"/>
                <w:sz w:val="20"/>
                <w:szCs w:val="20"/>
              </w:rPr>
              <w:t xml:space="preserve">$4,800 per year</w:t>
            </w:r>
          </w:p>
        </w:tc>
      </w:tr>
      <w:tr>
        <w:trPr>
          <w:cantSplit/>
        </w:trPr>
        <w:tc>
          <w:tcPr>
            <w:tcW w:type="dxa" w:w="2600"/>
            <w:tcMar>
              <w:top w:type="dxa" w:w="80"/>
              <w:left w:type="dxa" w:w="120"/>
              <w:bottom w:type="dxa" w:w="80"/>
              <w:right w:type="dxa" w:w="120"/>
            </w:tcMar>
          </w:tcPr>
          <w:p>
            <w:pPr>
              <w:spacing w:after="0" w:before="0" w:line="264"/>
            </w:pPr>
            <w:r>
              <w:rPr>
                <w:b w:val="false"/>
                <w:bCs w:val="false"/>
                <w:color w:val="334155"/>
                <w:sz w:val="20"/>
                <w:szCs w:val="20"/>
              </w:rPr>
              <w:t xml:space="preserve">Annual Plan</w:t>
            </w:r>
          </w:p>
        </w:tc>
        <w:tc>
          <w:tcPr>
            <w:tcW w:type="dxa" w:w="4400"/>
            <w:tcMar>
              <w:top w:type="dxa" w:w="80"/>
              <w:left w:type="dxa" w:w="120"/>
              <w:bottom w:type="dxa" w:w="80"/>
              <w:right w:type="dxa" w:w="120"/>
            </w:tcMar>
          </w:tcPr>
          <w:p>
            <w:pPr>
              <w:spacing w:after="0" w:before="0" w:line="264"/>
            </w:pPr>
            <w:r>
              <w:rPr>
                <w:b w:val="false"/>
                <w:bCs w:val="false"/>
                <w:color w:val="334155"/>
                <w:sz w:val="20"/>
                <w:szCs w:val="20"/>
              </w:rPr>
              <w:t xml:space="preserve">15,000 to 50,000 residents</w:t>
            </w:r>
          </w:p>
        </w:tc>
        <w:tc>
          <w:tcPr>
            <w:tcW w:type="dxa" w:w="3080"/>
            <w:tcMar>
              <w:top w:type="dxa" w:w="80"/>
              <w:left w:type="dxa" w:w="120"/>
              <w:bottom w:type="dxa" w:w="80"/>
              <w:right w:type="dxa" w:w="120"/>
            </w:tcMar>
          </w:tcPr>
          <w:p>
            <w:pPr>
              <w:spacing w:after="0" w:before="0" w:line="264"/>
            </w:pPr>
            <w:r>
              <w:rPr>
                <w:b w:val="false"/>
                <w:bCs w:val="false"/>
                <w:color w:val="334155"/>
                <w:sz w:val="20"/>
                <w:szCs w:val="20"/>
              </w:rPr>
              <w:t xml:space="preserve">$9,000 per year</w:t>
            </w:r>
          </w:p>
        </w:tc>
      </w:tr>
      <w:tr>
        <w:trPr>
          <w:cantSplit/>
        </w:trPr>
        <w:tc>
          <w:tcPr>
            <w:tcW w:type="dxa" w:w="2600"/>
            <w:tcMar>
              <w:top w:type="dxa" w:w="80"/>
              <w:left w:type="dxa" w:w="120"/>
              <w:bottom w:type="dxa" w:w="80"/>
              <w:right w:type="dxa" w:w="120"/>
            </w:tcMar>
          </w:tcPr>
          <w:p>
            <w:pPr>
              <w:spacing w:after="0" w:before="0" w:line="264"/>
            </w:pPr>
            <w:r>
              <w:rPr>
                <w:b w:val="false"/>
                <w:bCs w:val="false"/>
                <w:color w:val="334155"/>
                <w:sz w:val="20"/>
                <w:szCs w:val="20"/>
              </w:rPr>
              <w:t xml:space="preserve">Pay-as-You-Go</w:t>
            </w:r>
          </w:p>
        </w:tc>
        <w:tc>
          <w:tcPr>
            <w:tcW w:type="dxa" w:w="4400"/>
            <w:tcMar>
              <w:top w:type="dxa" w:w="80"/>
              <w:left w:type="dxa" w:w="120"/>
              <w:bottom w:type="dxa" w:w="80"/>
              <w:right w:type="dxa" w:w="120"/>
            </w:tcMar>
          </w:tcPr>
          <w:p>
            <w:pPr>
              <w:spacing w:after="0" w:before="0" w:line="264"/>
            </w:pPr>
            <w:r>
              <w:rPr>
                <w:b w:val="false"/>
                <w:bCs w:val="false"/>
                <w:color w:val="334155"/>
                <w:sz w:val="20"/>
                <w:szCs w:val="20"/>
              </w:rPr>
              <w:t xml:space="preserve">All eligible cities</w:t>
            </w:r>
          </w:p>
        </w:tc>
        <w:tc>
          <w:tcPr>
            <w:tcW w:type="dxa" w:w="3080"/>
            <w:tcMar>
              <w:top w:type="dxa" w:w="80"/>
              <w:left w:type="dxa" w:w="120"/>
              <w:bottom w:type="dxa" w:w="80"/>
              <w:right w:type="dxa" w:w="120"/>
            </w:tcMar>
          </w:tcPr>
          <w:p>
            <w:pPr>
              <w:spacing w:after="0" w:before="0" w:line="264"/>
            </w:pPr>
            <w:r>
              <w:rPr>
                <w:b w:val="false"/>
                <w:bCs w:val="false"/>
                <w:color w:val="334155"/>
                <w:sz w:val="20"/>
                <w:szCs w:val="20"/>
              </w:rPr>
              <w:t xml:space="preserve">5% of online bookings; no annual fee</w:t>
            </w:r>
          </w:p>
        </w:tc>
      </w:tr>
    </w:tbl>
    <w:p>
      <w:pPr>
        <w:spacing w:after="120"/>
      </w:pPr>
    </w:p>
    <w:p>
      <w:pPr>
        <w:spacing w:after="160" w:before="0" w:line="264"/>
      </w:pPr>
      <w:r>
        <w:rPr>
          <w:color w:val="334155"/>
          <w:sz w:val="20"/>
          <w:szCs w:val="20"/>
        </w:rPr>
        <w:t xml:space="preserve">On the Pay-as-You-Go plan, City may absorb the 5% ParksPilot fee or, if permitted by applicable law and City policy, pass it through as a convenience or service fee. Any pass-through fee is determined and authorized by City. ParksPilot will invoice City monthly for applicable Pay-as-You-Go fees unless otherwise agreed in writing.</w:t>
      </w:r>
    </w:p>
    <w:p>
      <w:pPr>
        <w:pStyle w:val="Heading1"/>
        <w:keepNext/>
        <w:spacing w:after="140" w:before="360"/>
      </w:pPr>
      <w:r>
        <w:rPr>
          <w:b/>
          <w:bCs/>
          <w:color w:val="1A3A5C"/>
          <w:sz w:val="26"/>
          <w:szCs w:val="26"/>
        </w:rPr>
        <w:t xml:space="preserve">4. Term; renewal; non-appropriation</w:t>
      </w:r>
    </w:p>
    <w:p>
      <w:pPr>
        <w:spacing w:after="160" w:before="0" w:line="264"/>
      </w:pPr>
      <w:r>
        <w:rPr>
          <w:color w:val="334155"/>
          <w:sz w:val="20"/>
          <w:szCs w:val="20"/>
        </w:rPr>
        <w:t xml:space="preserve">The initial term is one (1) year beginning on the Effective Date. The Agreement may renew for successive one-year terms by mutual agreement or continued authorized use, subject to any City purchasing requirements. City is not required to enter into a multi-year commitment.</w:t>
      </w:r>
    </w:p>
    <w:p>
      <w:pPr>
        <w:spacing w:after="160" w:before="0" w:line="264"/>
      </w:pPr>
      <w:r>
        <w:rPr>
          <w:color w:val="334155"/>
          <w:sz w:val="20"/>
          <w:szCs w:val="20"/>
        </w:rPr>
        <w:t xml:space="preserve">If funds are not legally appropriated or otherwise made available for a future fiscal period, City may terminate the Agreement without penalty by providing written notice. City remains responsible for amounts properly due for services provided before termination.</w:t>
      </w:r>
    </w:p>
    <w:p>
      <w:pPr>
        <w:pStyle w:val="Heading1"/>
        <w:keepNext/>
        <w:spacing w:after="140" w:before="360"/>
      </w:pPr>
      <w:r>
        <w:rPr>
          <w:b/>
          <w:bCs/>
          <w:color w:val="1A3A5C"/>
          <w:sz w:val="26"/>
          <w:szCs w:val="26"/>
        </w:rPr>
        <w:t xml:space="preserve">5. Payments; Stripe</w:t>
      </w:r>
    </w:p>
    <w:p>
      <w:pPr>
        <w:spacing w:after="160" w:before="0" w:line="264"/>
      </w:pPr>
      <w:r>
        <w:rPr>
          <w:color w:val="334155"/>
          <w:sz w:val="20"/>
          <w:szCs w:val="20"/>
        </w:rPr>
        <w:t xml:space="preserve">Payment card information is entered into payment fields provided by Stripe and is not stored by ParksPilot or City through ParksPilot. City will cooperate in establishing any required Stripe account or payment configuration. ParksPilot does not control Stripe’s processing fees, settlement timing, or independent service terms.</w:t>
      </w:r>
    </w:p>
    <w:p>
      <w:pPr>
        <w:pStyle w:val="Heading1"/>
        <w:keepNext/>
        <w:spacing w:after="140" w:before="360"/>
      </w:pPr>
      <w:r>
        <w:rPr>
          <w:b/>
          <w:bCs/>
          <w:color w:val="1A3A5C"/>
          <w:sz w:val="26"/>
          <w:szCs w:val="26"/>
        </w:rPr>
        <w:t xml:space="preserve">6. City data; privacy; public records</w:t>
      </w:r>
    </w:p>
    <w:p>
      <w:pPr>
        <w:spacing w:after="160" w:before="0" w:line="264"/>
      </w:pPr>
      <w:r>
        <w:rPr>
          <w:color w:val="334155"/>
          <w:sz w:val="20"/>
          <w:szCs w:val="20"/>
        </w:rPr>
        <w:t xml:space="preserve">As between the Parties, City retains ownership of City-provided data and transaction records relating to its residents and facilities. ParksPilot may process City data only as needed to provide, secure, support, maintain, and improve the service, or as required by law. ParksPilot will not sell City data.</w:t>
      </w:r>
    </w:p>
    <w:p>
      <w:pPr>
        <w:spacing w:after="160" w:before="0" w:line="264"/>
      </w:pPr>
      <w:r>
        <w:rPr>
          <w:color w:val="334155"/>
          <w:sz w:val="20"/>
          <w:szCs w:val="20"/>
        </w:rPr>
        <w:t xml:space="preserve">Upon written request and subject to reasonable technical limits, ParksPilot will provide City with an export of City data in a commonly usable format. City is responsible for determining its obligations under the Georgia Open Records Act and other public-records, retention, and disclosure laws. ParksPilot will reasonably cooperate with City regarding records requests that require ParksPilot-held City data.</w:t>
      </w:r>
    </w:p>
    <w:p>
      <w:pPr>
        <w:pStyle w:val="Heading1"/>
        <w:keepNext/>
        <w:spacing w:after="140" w:before="360"/>
      </w:pPr>
      <w:r>
        <w:rPr>
          <w:b/>
          <w:bCs/>
          <w:color w:val="1A3A5C"/>
          <w:sz w:val="26"/>
          <w:szCs w:val="26"/>
        </w:rPr>
        <w:t xml:space="preserve">7. Security and hosting</w:t>
      </w:r>
    </w:p>
    <w:p>
      <w:pPr>
        <w:spacing w:after="160" w:before="0" w:line="264"/>
      </w:pPr>
      <w:r>
        <w:rPr>
          <w:color w:val="334155"/>
          <w:sz w:val="20"/>
          <w:szCs w:val="20"/>
        </w:rPr>
        <w:t xml:space="preserve">ParksPilot is hosted using Amazon Web Services in the United States. ParksPilot will maintain commercially reasonable administrative, technical, and organizational safeguards, including encrypted network traffic, managed data storage and backups, tenant isolation controls, controlled application secrets, and authenticated transactional email. ParksPilot may update its infrastructure and security controls from time to time provided that it does not materially reduce the overall security of the service.</w:t>
      </w:r>
    </w:p>
    <w:p>
      <w:pPr>
        <w:pStyle w:val="Heading1"/>
        <w:keepNext/>
        <w:spacing w:after="140" w:before="360"/>
      </w:pPr>
      <w:r>
        <w:rPr>
          <w:b/>
          <w:bCs/>
          <w:color w:val="1A3A5C"/>
          <w:sz w:val="26"/>
          <w:szCs w:val="26"/>
        </w:rPr>
        <w:t xml:space="preserve">8. Accessibility</w:t>
      </w:r>
    </w:p>
    <w:p>
      <w:pPr>
        <w:spacing w:after="160" w:before="0" w:line="264"/>
      </w:pPr>
      <w:r>
        <w:rPr>
          <w:color w:val="334155"/>
          <w:sz w:val="20"/>
          <w:szCs w:val="20"/>
        </w:rPr>
        <w:t xml:space="preserve">ParksPilot is designed and evaluated for conformance with WCAG 2.1 Level A and AA for the ParksPilot-controlled resident and staff application. ParksPilot will make its current Accessibility Conformance Report available to City upon request. Third-party services embedded in or linked from ParksPilot, including Stripe-controlled payment fields, remain subject to the accessibility practices of those third parties.</w:t>
      </w:r>
    </w:p>
    <w:p>
      <w:pPr>
        <w:pStyle w:val="Heading1"/>
        <w:keepNext/>
        <w:spacing w:after="140" w:before="360"/>
      </w:pPr>
      <w:r>
        <w:rPr>
          <w:b/>
          <w:bCs/>
          <w:color w:val="1A3A5C"/>
          <w:sz w:val="26"/>
          <w:szCs w:val="26"/>
        </w:rPr>
        <w:t xml:space="preserve">9. Support; maintenance; updates</w:t>
      </w:r>
    </w:p>
    <w:p>
      <w:pPr>
        <w:spacing w:after="160" w:before="0" w:line="264"/>
      </w:pPr>
      <w:r>
        <w:rPr>
          <w:color w:val="334155"/>
          <w:sz w:val="20"/>
          <w:szCs w:val="20"/>
        </w:rPr>
        <w:t xml:space="preserve">Hosting, monitoring, maintenance, support, and standard product updates are included in the selected plan. Support is provided by email at parks@parkspilot.com. ParksPilot may perform maintenance and deploy updates as reasonably necessary. ParksPilot will use commercially reasonable efforts to minimize material service disruption.</w:t>
      </w:r>
    </w:p>
    <w:p>
      <w:pPr>
        <w:pStyle w:val="Heading1"/>
        <w:keepNext/>
        <w:spacing w:after="140" w:before="360"/>
      </w:pPr>
      <w:r>
        <w:rPr>
          <w:b/>
          <w:bCs/>
          <w:color w:val="1A3A5C"/>
          <w:sz w:val="26"/>
          <w:szCs w:val="26"/>
        </w:rPr>
        <w:t xml:space="preserve">10. Acceptable use; City administration</w:t>
      </w:r>
    </w:p>
    <w:p>
      <w:pPr>
        <w:spacing w:after="160" w:before="0" w:line="264"/>
      </w:pPr>
      <w:r>
        <w:rPr>
          <w:color w:val="334155"/>
          <w:sz w:val="20"/>
          <w:szCs w:val="20"/>
        </w:rPr>
        <w:t xml:space="preserve">City will use the service only for lawful municipal purposes and will reasonably protect staff credentials. City controls which of its personnel receive staff access and is responsible for actions taken through authorized City accounts. ParksPilot may temporarily restrict access when reasonably necessary to address a material security threat, unlawful use, or nonpayment, and will use reasonable efforts to notify City.</w:t>
      </w:r>
    </w:p>
    <w:p>
      <w:pPr>
        <w:pStyle w:val="Heading1"/>
        <w:keepNext/>
        <w:spacing w:after="140" w:before="360"/>
      </w:pPr>
      <w:r>
        <w:rPr>
          <w:b/>
          <w:bCs/>
          <w:color w:val="1A3A5C"/>
          <w:sz w:val="26"/>
          <w:szCs w:val="26"/>
        </w:rPr>
        <w:t xml:space="preserve">11. Confidential information</w:t>
      </w:r>
    </w:p>
    <w:p>
      <w:pPr>
        <w:spacing w:after="160" w:before="0" w:line="264"/>
      </w:pPr>
      <w:r>
        <w:rPr>
          <w:color w:val="334155"/>
          <w:sz w:val="20"/>
          <w:szCs w:val="20"/>
        </w:rPr>
        <w:t xml:space="preserve">Each Party may receive non-public information of the other Party. Each Party will use reasonable care to protect such information and will use it only for purposes of this Agreement. This section does not restrict information that is public through no breach of this Agreement, already lawfully known, independently developed, lawfully received from another source, or required to be disclosed by law. City’s disclosure obligations under applicable open-records laws are not restricted by this section.</w:t>
      </w:r>
    </w:p>
    <w:p>
      <w:pPr>
        <w:pStyle w:val="Heading1"/>
        <w:keepNext/>
        <w:spacing w:after="140" w:before="360"/>
      </w:pPr>
      <w:r>
        <w:rPr>
          <w:b/>
          <w:bCs/>
          <w:color w:val="1A3A5C"/>
          <w:sz w:val="26"/>
          <w:szCs w:val="26"/>
        </w:rPr>
        <w:t xml:space="preserve">12. Limited warranty; disclaimer</w:t>
      </w:r>
    </w:p>
    <w:p>
      <w:pPr>
        <w:spacing w:after="160" w:before="0" w:line="264"/>
      </w:pPr>
      <w:r>
        <w:rPr>
          <w:color w:val="334155"/>
          <w:sz w:val="20"/>
          <w:szCs w:val="20"/>
        </w:rPr>
        <w:t xml:space="preserve">ParksPilot warrants that it will provide the service in a professional and workmanlike manner and substantially in accordance with its then-current documentation. City’s exclusive remedy for a verified material failure is correction of the affected service or, if ParksPilot cannot reasonably correct it, termination and a prorated refund of prepaid fees for the unused portion of the then-current term.</w:t>
      </w:r>
    </w:p>
    <w:p>
      <w:pPr>
        <w:spacing w:after="160" w:before="0" w:line="264"/>
      </w:pPr>
      <w:r>
        <w:rPr>
          <w:color w:val="334155"/>
          <w:sz w:val="20"/>
          <w:szCs w:val="20"/>
        </w:rPr>
        <w:t xml:space="preserve">Except for the express warranty above and to the maximum extent permitted by law, the service is provided without other warranties, whether express, implied, statutory, or otherwise, including implied warranties of merchantability, fitness for a particular purpose, and non-infringement.</w:t>
      </w:r>
    </w:p>
    <w:p>
      <w:pPr>
        <w:pStyle w:val="Heading1"/>
        <w:keepNext/>
        <w:spacing w:after="140" w:before="360"/>
      </w:pPr>
      <w:r>
        <w:rPr>
          <w:b/>
          <w:bCs/>
          <w:color w:val="1A3A5C"/>
          <w:sz w:val="26"/>
          <w:szCs w:val="26"/>
        </w:rPr>
        <w:t xml:space="preserve">13. Limitation of liability</w:t>
      </w:r>
    </w:p>
    <w:p>
      <w:pPr>
        <w:spacing w:after="160" w:before="0" w:line="264"/>
      </w:pPr>
      <w:r>
        <w:rPr>
          <w:color w:val="334155"/>
          <w:sz w:val="20"/>
          <w:szCs w:val="20"/>
        </w:rPr>
        <w:t xml:space="preserve">To the maximum extent permitted by law, neither Party will be liable to the other for indirect, incidental, special, exemplary, punitive, or consequential damages, or for lost profits or lost business opportunity, arising from this Agreement. ParksPilot’s aggregate liability arising from or relating to this Agreement will not exceed the fees paid or payable by City to ParksPilot during the twelve (12) months preceding the event giving rise to the claim.</w:t>
      </w:r>
    </w:p>
    <w:p>
      <w:pPr>
        <w:spacing w:after="160" w:before="0" w:line="264"/>
      </w:pPr>
      <w:r>
        <w:rPr>
          <w:color w:val="334155"/>
          <w:sz w:val="20"/>
          <w:szCs w:val="20"/>
        </w:rPr>
        <w:t xml:space="preserve">The foregoing limitation does not limit obligations that cannot lawfully be limited, or liability arising from a Party’s fraud, willful misconduct, or infringement/misappropriation of the other Party’s intellectual property.</w:t>
      </w:r>
    </w:p>
    <w:p>
      <w:pPr>
        <w:pStyle w:val="Heading1"/>
        <w:keepNext/>
        <w:spacing w:after="140" w:before="360"/>
      </w:pPr>
      <w:r>
        <w:rPr>
          <w:b/>
          <w:bCs/>
          <w:color w:val="1A3A5C"/>
          <w:sz w:val="26"/>
          <w:szCs w:val="26"/>
        </w:rPr>
        <w:t xml:space="preserve">14. Third-party claims; no municipal indemnity</w:t>
      </w:r>
    </w:p>
    <w:p>
      <w:pPr>
        <w:spacing w:after="160" w:before="0" w:line="264"/>
      </w:pPr>
      <w:r>
        <w:rPr>
          <w:color w:val="334155"/>
          <w:sz w:val="20"/>
          <w:szCs w:val="20"/>
        </w:rPr>
        <w:t xml:space="preserve">ParksPilot will defend City against a third-party claim alleging that the ParksPilot software, when used as authorized under this Agreement, directly infringes a United States patent, copyright, or trademark, and will pay damages finally awarded or settlement amounts approved by ParksPilot, provided City promptly notifies ParksPilot and reasonably cooperates in the defense.</w:t>
      </w:r>
    </w:p>
    <w:p>
      <w:pPr>
        <w:spacing w:after="160" w:before="0" w:line="264"/>
      </w:pPr>
      <w:r>
        <w:rPr>
          <w:color w:val="334155"/>
          <w:sz w:val="20"/>
          <w:szCs w:val="20"/>
        </w:rPr>
        <w:t xml:space="preserve">Nothing in this Agreement requires City to indemnify, defend, or hold harmless ParksPilot or any other private party. Nothing in this Agreement is intended to waive any immunity, defense, limitation, or protection available to City under the Constitution or laws of the State of Georgia.</w:t>
      </w:r>
    </w:p>
    <w:p>
      <w:pPr>
        <w:pStyle w:val="Heading1"/>
        <w:keepNext/>
        <w:spacing w:after="140" w:before="360"/>
      </w:pPr>
      <w:r>
        <w:rPr>
          <w:b/>
          <w:bCs/>
          <w:color w:val="1A3A5C"/>
          <w:sz w:val="26"/>
          <w:szCs w:val="26"/>
        </w:rPr>
        <w:t xml:space="preserve">15. Termination</w:t>
      </w:r>
    </w:p>
    <w:p>
      <w:pPr>
        <w:spacing w:after="160" w:before="0" w:line="264"/>
      </w:pPr>
      <w:r>
        <w:rPr>
          <w:color w:val="334155"/>
          <w:sz w:val="20"/>
          <w:szCs w:val="20"/>
        </w:rPr>
        <w:t xml:space="preserve">Either Party may terminate this Agreement for a material breach that remains uncured thirty (30) days after written notice. City may also terminate for convenience upon thirty (30) days’ written notice. If City terminates an Annual Plan for convenience, prepaid annual fees are non-refundable except where termination results from ParksPilot’s uncured material breach or where required by law. Upon termination, City may request a final data export within sixty (60) days.</w:t>
      </w:r>
    </w:p>
    <w:p>
      <w:pPr>
        <w:pStyle w:val="Heading1"/>
        <w:keepNext/>
        <w:spacing w:after="140" w:before="360"/>
      </w:pPr>
      <w:r>
        <w:rPr>
          <w:b/>
          <w:bCs/>
          <w:color w:val="1A3A5C"/>
          <w:sz w:val="26"/>
          <w:szCs w:val="26"/>
        </w:rPr>
        <w:t xml:space="preserve">16. Intellectual property</w:t>
      </w:r>
    </w:p>
    <w:p>
      <w:pPr>
        <w:spacing w:after="160" w:before="0" w:line="264"/>
      </w:pPr>
      <w:r>
        <w:rPr>
          <w:color w:val="334155"/>
          <w:sz w:val="20"/>
          <w:szCs w:val="20"/>
        </w:rPr>
        <w:t xml:space="preserve">ParksPilot and its licensors retain all rights in the ParksPilot software, documentation, designs, workflows, and underlying technology. City retains all rights in City names, seals, logos, content, policies, facility information, and City data. City grants ParksPilot a limited right to use City branding only as necessary to configure and provide the service.</w:t>
      </w:r>
    </w:p>
    <w:p>
      <w:pPr>
        <w:pStyle w:val="Heading1"/>
        <w:keepNext/>
        <w:spacing w:after="140" w:before="360"/>
      </w:pPr>
      <w:r>
        <w:rPr>
          <w:b/>
          <w:bCs/>
          <w:color w:val="1A3A5C"/>
          <w:sz w:val="26"/>
          <w:szCs w:val="26"/>
        </w:rPr>
        <w:t xml:space="preserve">17. Notices</w:t>
      </w:r>
    </w:p>
    <w:p>
      <w:pPr>
        <w:spacing w:after="160" w:before="0" w:line="264"/>
      </w:pPr>
      <w:r>
        <w:rPr>
          <w:color w:val="334155"/>
          <w:sz w:val="20"/>
          <w:szCs w:val="20"/>
        </w:rPr>
        <w:t xml:space="preserve">Formal notices under this Agreement must be sent by email and one additional method reasonably calculated to provide delivery (such as certified mail or recognized overnight delivery) to the contacts designated below. Routine support and operational communications may be sent by email.</w:t>
      </w:r>
    </w:p>
    <w:p>
      <w:pPr>
        <w:pStyle w:val="Heading1"/>
        <w:keepNext/>
        <w:spacing w:after="140" w:before="360"/>
      </w:pPr>
      <w:r>
        <w:rPr>
          <w:b/>
          <w:bCs/>
          <w:color w:val="1A3A5C"/>
          <w:sz w:val="26"/>
          <w:szCs w:val="26"/>
        </w:rPr>
        <w:t xml:space="preserve">18. Georgia law; venue; authority</w:t>
      </w:r>
    </w:p>
    <w:p>
      <w:pPr>
        <w:spacing w:after="160" w:before="0" w:line="264"/>
      </w:pPr>
      <w:r>
        <w:rPr>
          <w:color w:val="334155"/>
          <w:sz w:val="20"/>
          <w:szCs w:val="20"/>
        </w:rPr>
        <w:t xml:space="preserve">This Agreement is governed by the laws of the State of Georgia, without regard to conflict-of-law rules. Any action concerning this Agreement must be brought in a court of competent jurisdiction in the county in which City is located, unless applicable law requires otherwise. Each person signing represents that he or she is authorized to bind the Party on whose behalf the signature is made. Nothing in this Agreement is intended to create authority beyond that lawfully possessed by City.</w:t>
      </w:r>
    </w:p>
    <w:p>
      <w:pPr>
        <w:pStyle w:val="Heading1"/>
        <w:keepNext/>
        <w:spacing w:after="140" w:before="360"/>
      </w:pPr>
      <w:r>
        <w:rPr>
          <w:b/>
          <w:bCs/>
          <w:color w:val="1A3A5C"/>
          <w:sz w:val="26"/>
          <w:szCs w:val="26"/>
        </w:rPr>
        <w:t xml:space="preserve">19. Entire agreement; order of precedence</w:t>
      </w:r>
    </w:p>
    <w:p>
      <w:pPr>
        <w:spacing w:after="160" w:before="0" w:line="264"/>
      </w:pPr>
      <w:r>
        <w:rPr>
          <w:color w:val="334155"/>
          <w:sz w:val="20"/>
          <w:szCs w:val="20"/>
        </w:rPr>
        <w:t xml:space="preserve">This Agreement, together with any signed order form or written amendment, is the entire agreement concerning the ParksPilot service and supersedes prior discussions on that subject. Any amendment must be in writing and signed by authorized representatives of both Parties. If City issues a purchase order, its administrative terms may be used for payment processing, but additional or conflicting legal terms in the purchase order will not modify this Agreement unless expressly accepted in a signed writing by both Parties.</w:t>
      </w:r>
    </w:p>
    <w:p>
      <w:pPr>
        <w:pStyle w:val="Heading1"/>
        <w:keepNext/>
        <w:spacing w:after="140" w:before="360"/>
      </w:pPr>
      <w:r>
        <w:rPr>
          <w:b/>
          <w:bCs/>
          <w:color w:val="1A3A5C"/>
          <w:sz w:val="26"/>
          <w:szCs w:val="26"/>
        </w:rPr>
        <w:t xml:space="preserve">Signatures</w:t>
      </w:r>
    </w:p>
    <w:tbl>
      <w:tblPr>
        <w:tblW w:type="dxa" w:w="10080"/>
        <w:tblBorders>
          <w:top w:val="single" w:color="D6DCE4" w:sz="4"/>
          <w:left w:val="single" w:color="D6DCE4" w:sz="4"/>
          <w:bottom w:val="single" w:color="D6DCE4" w:sz="4"/>
          <w:right w:val="single" w:color="D6DCE4" w:sz="4"/>
          <w:insideH w:val="single" w:color="D6DCE4" w:sz="4"/>
          <w:insideV w:val="single" w:color="D6DCE4" w:sz="4"/>
        </w:tblBorders>
      </w:tblPr>
      <w:tblGrid>
        <w:gridCol w:w="5040"/>
        <w:gridCol w:w="5040"/>
      </w:tblGrid>
      <w:tr>
        <w:trPr>
          <w:tblHeader/>
        </w:trPr>
        <w:tc>
          <w:tcPr>
            <w:tcW w:type="dxa" w:w="5040"/>
            <w:shd w:fill="F1F5F9" w:color="auto" w:val="clear"/>
            <w:tcMar>
              <w:top w:type="dxa" w:w="80"/>
              <w:left w:type="dxa" w:w="120"/>
              <w:bottom w:type="dxa" w:w="80"/>
              <w:right w:type="dxa" w:w="120"/>
            </w:tcMar>
          </w:tcPr>
          <w:p>
            <w:pPr>
              <w:spacing w:after="0" w:before="0" w:line="264"/>
            </w:pPr>
            <w:r>
              <w:rPr>
                <w:b/>
                <w:bCs/>
                <w:color w:val="1A3A5C"/>
                <w:sz w:val="20"/>
                <w:szCs w:val="20"/>
              </w:rPr>
              <w:t xml:space="preserve">Kahnputers LLC d/b/a ParksPilot</w:t>
            </w:r>
          </w:p>
        </w:tc>
        <w:tc>
          <w:tcPr>
            <w:tcW w:type="dxa" w:w="5040"/>
            <w:shd w:fill="F1F5F9" w:color="auto" w:val="clear"/>
            <w:tcMar>
              <w:top w:type="dxa" w:w="80"/>
              <w:left w:type="dxa" w:w="120"/>
              <w:bottom w:type="dxa" w:w="80"/>
              <w:right w:type="dxa" w:w="120"/>
            </w:tcMar>
          </w:tcPr>
          <w:p>
            <w:pPr>
              <w:spacing w:after="0" w:before="0" w:line="264"/>
            </w:pPr>
            <w:r>
              <w:rPr>
                <w:b/>
                <w:bCs/>
                <w:color w:val="1A3A5C"/>
                <w:sz w:val="20"/>
                <w:szCs w:val="20"/>
              </w:rPr>
              <w:t xml:space="preserve">City of __________________________</w:t>
            </w:r>
          </w:p>
        </w:tc>
      </w:tr>
      <w:tr>
        <w:trPr>
          <w:cantSplit/>
        </w:trPr>
        <w:tc>
          <w:tcPr>
            <w:tcW w:type="dxa" w:w="5040"/>
            <w:tcMar>
              <w:top w:type="dxa" w:w="80"/>
              <w:left w:type="dxa" w:w="120"/>
              <w:bottom w:type="dxa" w:w="80"/>
              <w:right w:type="dxa" w:w="120"/>
            </w:tcMar>
          </w:tcPr>
          <w:p>
            <w:pPr>
              <w:spacing w:after="0" w:before="0" w:line="264"/>
            </w:pPr>
            <w:r>
              <w:rPr>
                <w:b w:val="false"/>
                <w:bCs w:val="false"/>
                <w:color w:val="334155"/>
                <w:sz w:val="20"/>
                <w:szCs w:val="20"/>
              </w:rPr>
              <w:t xml:space="preserve">By: ______________________________</w:t>
            </w:r>
          </w:p>
        </w:tc>
        <w:tc>
          <w:tcPr>
            <w:tcW w:type="dxa" w:w="5040"/>
            <w:tcMar>
              <w:top w:type="dxa" w:w="80"/>
              <w:left w:type="dxa" w:w="120"/>
              <w:bottom w:type="dxa" w:w="80"/>
              <w:right w:type="dxa" w:w="120"/>
            </w:tcMar>
          </w:tcPr>
          <w:p>
            <w:pPr>
              <w:spacing w:after="0" w:before="0" w:line="264"/>
            </w:pPr>
            <w:r>
              <w:rPr>
                <w:b w:val="false"/>
                <w:bCs w:val="false"/>
                <w:color w:val="334155"/>
                <w:sz w:val="20"/>
                <w:szCs w:val="20"/>
              </w:rPr>
              <w:t xml:space="preserve">By: ______________________________</w:t>
            </w:r>
          </w:p>
        </w:tc>
      </w:tr>
      <w:tr>
        <w:trPr>
          <w:cantSplit/>
        </w:trPr>
        <w:tc>
          <w:tcPr>
            <w:tcW w:type="dxa" w:w="5040"/>
            <w:tcMar>
              <w:top w:type="dxa" w:w="80"/>
              <w:left w:type="dxa" w:w="120"/>
              <w:bottom w:type="dxa" w:w="80"/>
              <w:right w:type="dxa" w:w="120"/>
            </w:tcMar>
          </w:tcPr>
          <w:p>
            <w:pPr>
              <w:spacing w:after="0" w:before="0" w:line="264"/>
            </w:pPr>
            <w:r>
              <w:rPr>
                <w:b w:val="false"/>
                <w:bCs w:val="false"/>
                <w:color w:val="334155"/>
                <w:sz w:val="20"/>
                <w:szCs w:val="20"/>
              </w:rPr>
              <w:t xml:space="preserve">Name: Tahir Khan</w:t>
            </w:r>
          </w:p>
        </w:tc>
        <w:tc>
          <w:tcPr>
            <w:tcW w:type="dxa" w:w="5040"/>
            <w:tcMar>
              <w:top w:type="dxa" w:w="80"/>
              <w:left w:type="dxa" w:w="120"/>
              <w:bottom w:type="dxa" w:w="80"/>
              <w:right w:type="dxa" w:w="120"/>
            </w:tcMar>
          </w:tcPr>
          <w:p>
            <w:pPr>
              <w:spacing w:after="0" w:before="0" w:line="264"/>
            </w:pPr>
            <w:r>
              <w:rPr>
                <w:b w:val="false"/>
                <w:bCs w:val="false"/>
                <w:color w:val="334155"/>
                <w:sz w:val="20"/>
                <w:szCs w:val="20"/>
              </w:rPr>
              <w:t xml:space="preserve">Name: ____________________________</w:t>
            </w:r>
          </w:p>
        </w:tc>
      </w:tr>
      <w:tr>
        <w:trPr>
          <w:cantSplit/>
        </w:trPr>
        <w:tc>
          <w:tcPr>
            <w:tcW w:type="dxa" w:w="5040"/>
            <w:tcMar>
              <w:top w:type="dxa" w:w="80"/>
              <w:left w:type="dxa" w:w="120"/>
              <w:bottom w:type="dxa" w:w="80"/>
              <w:right w:type="dxa" w:w="120"/>
            </w:tcMar>
          </w:tcPr>
          <w:p>
            <w:pPr>
              <w:spacing w:after="0" w:before="0" w:line="264"/>
            </w:pPr>
            <w:r>
              <w:rPr>
                <w:b w:val="false"/>
                <w:bCs w:val="false"/>
                <w:color w:val="334155"/>
                <w:sz w:val="20"/>
                <w:szCs w:val="20"/>
              </w:rPr>
              <w:t xml:space="preserve">Title: Authorized Representative</w:t>
            </w:r>
          </w:p>
        </w:tc>
        <w:tc>
          <w:tcPr>
            <w:tcW w:type="dxa" w:w="5040"/>
            <w:tcMar>
              <w:top w:type="dxa" w:w="80"/>
              <w:left w:type="dxa" w:w="120"/>
              <w:bottom w:type="dxa" w:w="80"/>
              <w:right w:type="dxa" w:w="120"/>
            </w:tcMar>
          </w:tcPr>
          <w:p>
            <w:pPr>
              <w:spacing w:after="0" w:before="0" w:line="264"/>
            </w:pPr>
            <w:r>
              <w:rPr>
                <w:b w:val="false"/>
                <w:bCs w:val="false"/>
                <w:color w:val="334155"/>
                <w:sz w:val="20"/>
                <w:szCs w:val="20"/>
              </w:rPr>
              <w:t xml:space="preserve">Title: ____________________________</w:t>
            </w:r>
          </w:p>
        </w:tc>
      </w:tr>
      <w:tr>
        <w:trPr>
          <w:cantSplit/>
        </w:trPr>
        <w:tc>
          <w:tcPr>
            <w:tcW w:type="dxa" w:w="5040"/>
            <w:tcMar>
              <w:top w:type="dxa" w:w="80"/>
              <w:left w:type="dxa" w:w="120"/>
              <w:bottom w:type="dxa" w:w="80"/>
              <w:right w:type="dxa" w:w="120"/>
            </w:tcMar>
          </w:tcPr>
          <w:p>
            <w:pPr>
              <w:spacing w:after="0" w:before="0" w:line="264"/>
            </w:pPr>
            <w:r>
              <w:rPr>
                <w:b w:val="false"/>
                <w:bCs w:val="false"/>
                <w:color w:val="334155"/>
                <w:sz w:val="20"/>
                <w:szCs w:val="20"/>
              </w:rPr>
              <w:t xml:space="preserve">Date: ____________________________</w:t>
            </w:r>
          </w:p>
        </w:tc>
        <w:tc>
          <w:tcPr>
            <w:tcW w:type="dxa" w:w="5040"/>
            <w:tcMar>
              <w:top w:type="dxa" w:w="80"/>
              <w:left w:type="dxa" w:w="120"/>
              <w:bottom w:type="dxa" w:w="80"/>
              <w:right w:type="dxa" w:w="120"/>
            </w:tcMar>
          </w:tcPr>
          <w:p>
            <w:pPr>
              <w:spacing w:after="0" w:before="0" w:line="264"/>
            </w:pPr>
            <w:r>
              <w:rPr>
                <w:b w:val="false"/>
                <w:bCs w:val="false"/>
                <w:color w:val="334155"/>
                <w:sz w:val="20"/>
                <w:szCs w:val="20"/>
              </w:rPr>
              <w:t xml:space="preserve">Date: ____________________________</w:t>
            </w:r>
          </w:p>
        </w:tc>
      </w:tr>
    </w:tbl>
    <w:p>
      <w:pPr>
        <w:spacing w:after="120"/>
      </w:pPr>
    </w:p>
    <w:p>
      <w:pPr>
        <w:spacing w:after="160" w:before="0" w:line="264"/>
      </w:pPr>
      <w:r>
        <w:rPr>
          <w:color w:val="334155"/>
          <w:sz w:val="20"/>
          <w:szCs w:val="20"/>
        </w:rPr>
        <w:t xml:space="preserve">Drafting note: this sample is intended as a negotiation starting point for Georgia municipalities. City-specific procurement requirements, insurance requirements, public-records provisions, payment procedures, data terms, and local charter or ordinance requirements should be reviewed by counsel before execution. It has not been reviewed by outside counsel and will be reissued when it has been.</w:t>
      </w:r>
    </w:p>
    <w:p>
      <w:pPr>
        <w:pBdr>
          <w:top w:val="single" w:color="D6DCE4" w:sz="6" w:space="12"/>
        </w:pBdr>
        <w:spacing w:before="480"/>
      </w:pPr>
      <w:r>
        <w:rPr>
          <w:i/>
          <w:iCs/>
          <w:color w:val="64748B"/>
          <w:sz w:val="18"/>
          <w:szCs w:val="18"/>
        </w:rPr>
        <w:t xml:space="preserve">Kahnputers LLC, maker of ParksPilot. www.parkspilot.com  parks@parkspilot.com  Georgia, USA. Registered in the federal System for Award Management (SAM.gov).</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4A3B8"/>
        <w:sz w:val="16"/>
        <w:szCs w:val="16"/>
      </w:rPr>
      <w:t xml:space="preserve">Page </w:t>
    </w:r>
    <w:r>
      <w:rPr>
        <w:color w:val="94A3B8"/>
        <w:sz w:val="16"/>
        <w:szCs w:val="16"/>
      </w:rPr>
      <w:fldChar w:fldCharType="begin"/>
      <w:instrText xml:space="preserve">PAGE</w:instrText>
      <w:fldChar w:fldCharType="separate"/>
      <w:fldChar w:fldCharType="end"/>
    </w:r>
    <w:r>
      <w:rPr>
        <w:color w:val="94A3B8"/>
        <w:sz w:val="16"/>
        <w:szCs w:val="16"/>
      </w:rPr>
      <w:t xml:space="preserve"> of </w:t>
    </w:r>
    <w:r>
      <w:rPr>
        <w:color w:val="94A3B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Municipal software services agreement</dc:title>
  <dc:creator>Kahnputers LLC</dc:creator>
  <dc:description>Kahnputers LLC, doing business as ParksPilot</dc:description>
  <cp:lastModifiedBy>Un-named</cp:lastModifiedBy>
  <cp:revision>1</cp:revision>
  <dcterms:created xsi:type="dcterms:W3CDTF">2026-08-23T21:36:17.183Z</dcterms:created>
  <dcterms:modified xsi:type="dcterms:W3CDTF">2026-08-23T21:36:17.183Z</dcterms:modified>
</cp:coreProperties>
</file>

<file path=docProps/custom.xml><?xml version="1.0" encoding="utf-8"?>
<Properties xmlns="http://schemas.openxmlformats.org/officeDocument/2006/custom-properties" xmlns:vt="http://schemas.openxmlformats.org/officeDocument/2006/docPropsVTypes"/>
</file>