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2E9E6B"/>
          <w:sz w:val="20"/>
          <w:szCs w:val="20"/>
        </w:rPr>
        <w:t xml:space="preserve">SECURITY</w:t>
      </w:r>
    </w:p>
    <w:p>
      <w:pPr>
        <w:spacing w:after="80"/>
      </w:pPr>
      <w:r>
        <w:rPr>
          <w:b/>
          <w:bCs/>
          <w:color w:val="1A3A5C"/>
          <w:sz w:val="32"/>
          <w:szCs w:val="32"/>
        </w:rPr>
        <w:t xml:space="preserve">Security and data protection</w:t>
      </w:r>
    </w:p>
    <w:p>
      <w:pPr>
        <w:spacing w:after="40"/>
      </w:pPr>
      <w:r>
        <w:rPr>
          <w:color w:val="1A3A5C"/>
          <w:sz w:val="24"/>
          <w:szCs w:val="24"/>
        </w:rPr>
        <w:t xml:space="preserve">ParksPilot, by Kahnputers LLC</w:t>
      </w:r>
    </w:p>
    <w:p>
      <w:pPr>
        <w:pBdr>
          <w:bottom w:val="single" w:color="D6DCE4" w:sz="6" w:space="8"/>
        </w:pBdr>
        <w:spacing w:after="320"/>
      </w:pPr>
      <w:r>
        <w:rPr>
          <w:color w:val="64748B"/>
          <w:sz w:val="20"/>
          <w:szCs w:val="20"/>
        </w:rPr>
        <w:t xml:space="preserve">For the person your city routes vendor review to. August 2026.</w:t>
      </w:r>
    </w:p>
    <w:p>
      <w:pPr>
        <w:pBdr>
          <w:left w:val="single" w:color="2E9E6B" w:sz="18" w:space="8"/>
        </w:pBdr>
        <w:shd w:fill="F1F5F9" w:color="auto" w:val="clear"/>
        <w:spacing w:after="320" w:before="120"/>
      </w:pPr>
      <w:r>
        <w:rPr>
          <w:i/>
          <w:iCs/>
          <w:color w:val="475569"/>
          <w:sz w:val="20"/>
          <w:szCs w:val="20"/>
        </w:rPr>
        <w:t xml:space="preserve">Section 1 is our answer to every requirement in the security and data ownership section of the RFP template we publish, in its own numbering, so you can hold us to the document we wrote. Sections 2 through 10 cover what that section does not ask. Section 11 is what we do not have, stated plainly, because a security document that claims everything tells you nothing.</w:t>
      </w:r>
    </w:p>
    <w:p>
      <w:pPr>
        <w:pStyle w:val="Heading1"/>
        <w:keepNext/>
        <w:spacing w:after="140" w:before="360"/>
      </w:pPr>
      <w:r>
        <w:rPr>
          <w:b/>
          <w:bCs/>
          <w:color w:val="1A3A5C"/>
          <w:sz w:val="26"/>
          <w:szCs w:val="26"/>
        </w:rPr>
        <w:t xml:space="preserve">1. Our answers to requirements 4G.1 to 4G.8</w:t>
      </w:r>
    </w:p>
    <w:p>
      <w:pPr>
        <w:spacing w:after="160" w:before="0" w:line="264"/>
      </w:pPr>
      <w:r>
        <w:rPr>
          <w:color w:val="334155"/>
          <w:sz w:val="20"/>
          <w:szCs w:val="20"/>
        </w:rPr>
        <w:t xml:space="preserve">These are the eight requirements in the hosting, security, and data ownership section of the facility reservation RFP template published at www.parkspilot.com/resources/rfp-template. If your city issues that template, this is our response.</w:t>
      </w:r>
    </w:p>
    <w:tbl>
      <w:tblPr>
        <w:tblW w:type="dxa" w:w="10080"/>
        <w:tblBorders>
          <w:top w:val="single" w:color="D6DCE4" w:sz="4"/>
          <w:left w:val="single" w:color="D6DCE4" w:sz="4"/>
          <w:bottom w:val="single" w:color="D6DCE4" w:sz="4"/>
          <w:right w:val="single" w:color="D6DCE4" w:sz="4"/>
          <w:insideH w:val="single" w:color="D6DCE4" w:sz="4"/>
          <w:insideV w:val="single" w:color="D6DCE4" w:sz="4"/>
        </w:tblBorders>
      </w:tblPr>
      <w:tblGrid>
        <w:gridCol w:w="800"/>
        <w:gridCol w:w="3200"/>
        <w:gridCol w:w="6080"/>
      </w:tblGrid>
      <w:tr>
        <w:trPr>
          <w:tblHeader/>
        </w:trPr>
        <w:tc>
          <w:tcPr>
            <w:tcW w:type="dxa" w:w="800"/>
            <w:shd w:fill="F1F5F9" w:color="auto" w:val="clear"/>
            <w:tcMar>
              <w:top w:type="dxa" w:w="80"/>
              <w:left w:type="dxa" w:w="120"/>
              <w:bottom w:type="dxa" w:w="80"/>
              <w:right w:type="dxa" w:w="120"/>
            </w:tcMar>
          </w:tcPr>
          <w:p>
            <w:pPr>
              <w:spacing w:after="0" w:before="0" w:line="264"/>
            </w:pPr>
            <w:r>
              <w:rPr>
                <w:b/>
                <w:bCs/>
                <w:color w:val="1A3A5C"/>
                <w:sz w:val="20"/>
                <w:szCs w:val="20"/>
              </w:rPr>
              <w:t xml:space="preserve">Ref</w:t>
            </w:r>
          </w:p>
        </w:tc>
        <w:tc>
          <w:tcPr>
            <w:tcW w:type="dxa" w:w="3200"/>
            <w:shd w:fill="F1F5F9" w:color="auto" w:val="clear"/>
            <w:tcMar>
              <w:top w:type="dxa" w:w="80"/>
              <w:left w:type="dxa" w:w="120"/>
              <w:bottom w:type="dxa" w:w="80"/>
              <w:right w:type="dxa" w:w="120"/>
            </w:tcMar>
          </w:tcPr>
          <w:p>
            <w:pPr>
              <w:spacing w:after="0" w:before="0" w:line="264"/>
            </w:pPr>
            <w:r>
              <w:rPr>
                <w:b/>
                <w:bCs/>
                <w:color w:val="1A3A5C"/>
                <w:sz w:val="20"/>
                <w:szCs w:val="20"/>
              </w:rPr>
              <w:t xml:space="preserve">Requirement</w:t>
            </w:r>
          </w:p>
        </w:tc>
        <w:tc>
          <w:tcPr>
            <w:tcW w:type="dxa" w:w="6080"/>
            <w:shd w:fill="F1F5F9" w:color="auto" w:val="clear"/>
            <w:tcMar>
              <w:top w:type="dxa" w:w="80"/>
              <w:left w:type="dxa" w:w="120"/>
              <w:bottom w:type="dxa" w:w="80"/>
              <w:right w:type="dxa" w:w="120"/>
            </w:tcMar>
          </w:tcPr>
          <w:p>
            <w:pPr>
              <w:spacing w:after="0" w:before="0" w:line="264"/>
            </w:pPr>
            <w:r>
              <w:rPr>
                <w:b/>
                <w:bCs/>
                <w:color w:val="1A3A5C"/>
                <w:sz w:val="20"/>
                <w:szCs w:val="20"/>
              </w:rPr>
              <w:t xml:space="preserve">Our answer</w:t>
            </w:r>
          </w:p>
        </w:tc>
      </w:tr>
      <w:tr>
        <w:trPr>
          <w:cantSplit/>
        </w:trPr>
        <w:tc>
          <w:tcPr>
            <w:tcW w:type="dxa" w:w="800"/>
            <w:tcMar>
              <w:top w:type="dxa" w:w="80"/>
              <w:left w:type="dxa" w:w="120"/>
              <w:bottom w:type="dxa" w:w="80"/>
              <w:right w:type="dxa" w:w="120"/>
            </w:tcMar>
          </w:tcPr>
          <w:p>
            <w:pPr>
              <w:spacing w:after="0" w:before="0" w:line="264"/>
            </w:pPr>
            <w:r>
              <w:rPr>
                <w:b w:val="false"/>
                <w:bCs w:val="false"/>
                <w:color w:val="334155"/>
                <w:sz w:val="20"/>
                <w:szCs w:val="20"/>
              </w:rPr>
              <w:t xml:space="preserve">4G.1</w:t>
            </w:r>
          </w:p>
        </w:tc>
        <w:tc>
          <w:tcPr>
            <w:tcW w:type="dxa" w:w="3200"/>
            <w:tcMar>
              <w:top w:type="dxa" w:w="80"/>
              <w:left w:type="dxa" w:w="120"/>
              <w:bottom w:type="dxa" w:w="80"/>
              <w:right w:type="dxa" w:w="120"/>
            </w:tcMar>
          </w:tcPr>
          <w:p>
            <w:pPr>
              <w:spacing w:after="0" w:before="0" w:line="264"/>
            </w:pPr>
            <w:r>
              <w:rPr>
                <w:b w:val="false"/>
                <w:bCs w:val="false"/>
                <w:color w:val="334155"/>
                <w:sz w:val="20"/>
                <w:szCs w:val="20"/>
              </w:rPr>
              <w:t xml:space="preserve">City and resident data remains City property</w:t>
            </w:r>
          </w:p>
        </w:tc>
        <w:tc>
          <w:tcPr>
            <w:tcW w:type="dxa" w:w="6080"/>
            <w:tcMar>
              <w:top w:type="dxa" w:w="80"/>
              <w:left w:type="dxa" w:w="120"/>
              <w:bottom w:type="dxa" w:w="80"/>
              <w:right w:type="dxa" w:w="120"/>
            </w:tcMar>
          </w:tcPr>
          <w:p>
            <w:pPr>
              <w:spacing w:after="0" w:before="0" w:line="264"/>
            </w:pPr>
            <w:r>
              <w:rPr>
                <w:b w:val="false"/>
                <w:bCs w:val="false"/>
                <w:color w:val="334155"/>
                <w:sz w:val="20"/>
                <w:szCs w:val="20"/>
              </w:rPr>
              <w:t xml:space="preserve">Yes. All data entered by the City and by its residents remains the property of the City. This is stated in the services agreement, not just here.</w:t>
            </w:r>
          </w:p>
        </w:tc>
      </w:tr>
      <w:tr>
        <w:trPr>
          <w:cantSplit/>
        </w:trPr>
        <w:tc>
          <w:tcPr>
            <w:tcW w:type="dxa" w:w="800"/>
            <w:tcMar>
              <w:top w:type="dxa" w:w="80"/>
              <w:left w:type="dxa" w:w="120"/>
              <w:bottom w:type="dxa" w:w="80"/>
              <w:right w:type="dxa" w:w="120"/>
            </w:tcMar>
          </w:tcPr>
          <w:p>
            <w:pPr>
              <w:spacing w:after="0" w:before="0" w:line="264"/>
            </w:pPr>
            <w:r>
              <w:rPr>
                <w:b w:val="false"/>
                <w:bCs w:val="false"/>
                <w:color w:val="334155"/>
                <w:sz w:val="20"/>
                <w:szCs w:val="20"/>
              </w:rPr>
              <w:t xml:space="preserve">4G.2</w:t>
            </w:r>
          </w:p>
        </w:tc>
        <w:tc>
          <w:tcPr>
            <w:tcW w:type="dxa" w:w="3200"/>
            <w:tcMar>
              <w:top w:type="dxa" w:w="80"/>
              <w:left w:type="dxa" w:w="120"/>
              <w:bottom w:type="dxa" w:w="80"/>
              <w:right w:type="dxa" w:w="120"/>
            </w:tcMar>
          </w:tcPr>
          <w:p>
            <w:pPr>
              <w:spacing w:after="0" w:before="0" w:line="264"/>
            </w:pPr>
            <w:r>
              <w:rPr>
                <w:b w:val="false"/>
                <w:bCs w:val="false"/>
                <w:color w:val="334155"/>
                <w:sz w:val="20"/>
                <w:szCs w:val="20"/>
              </w:rPr>
              <w:t xml:space="preserve">Complete export on request, free, during term and at termination</w:t>
            </w:r>
          </w:p>
        </w:tc>
        <w:tc>
          <w:tcPr>
            <w:tcW w:type="dxa" w:w="6080"/>
            <w:tcMar>
              <w:top w:type="dxa" w:w="80"/>
              <w:left w:type="dxa" w:w="120"/>
              <w:bottom w:type="dxa" w:w="80"/>
              <w:right w:type="dxa" w:w="120"/>
            </w:tcMar>
          </w:tcPr>
          <w:p>
            <w:pPr>
              <w:spacing w:after="0" w:before="0" w:line="264"/>
            </w:pPr>
            <w:r>
              <w:rPr>
                <w:b w:val="false"/>
                <w:bCs w:val="false"/>
                <w:color w:val="334155"/>
                <w:sz w:val="20"/>
                <w:szCs w:val="20"/>
              </w:rPr>
              <w:t xml:space="preserve">Yes, on request. We provide a complete extract of the City's data in CSV, at no charge, normally within two business days, during the term and at termination. Self-service export from the staff portal is not built yet. Our own template asks for it at 4E.3 and we would answer that requirement 'not met as delivered'.</w:t>
            </w:r>
          </w:p>
        </w:tc>
      </w:tr>
      <w:tr>
        <w:trPr>
          <w:cantSplit/>
        </w:trPr>
        <w:tc>
          <w:tcPr>
            <w:tcW w:type="dxa" w:w="800"/>
            <w:tcMar>
              <w:top w:type="dxa" w:w="80"/>
              <w:left w:type="dxa" w:w="120"/>
              <w:bottom w:type="dxa" w:w="80"/>
              <w:right w:type="dxa" w:w="120"/>
            </w:tcMar>
          </w:tcPr>
          <w:p>
            <w:pPr>
              <w:spacing w:after="0" w:before="0" w:line="264"/>
            </w:pPr>
            <w:r>
              <w:rPr>
                <w:b w:val="false"/>
                <w:bCs w:val="false"/>
                <w:color w:val="334155"/>
                <w:sz w:val="20"/>
                <w:szCs w:val="20"/>
              </w:rPr>
              <w:t xml:space="preserve">4G.3</w:t>
            </w:r>
          </w:p>
        </w:tc>
        <w:tc>
          <w:tcPr>
            <w:tcW w:type="dxa" w:w="3200"/>
            <w:tcMar>
              <w:top w:type="dxa" w:w="80"/>
              <w:left w:type="dxa" w:w="120"/>
              <w:bottom w:type="dxa" w:w="80"/>
              <w:right w:type="dxa" w:w="120"/>
            </w:tcMar>
          </w:tcPr>
          <w:p>
            <w:pPr>
              <w:spacing w:after="0" w:before="0" w:line="264"/>
            </w:pPr>
            <w:r>
              <w:rPr>
                <w:b w:val="false"/>
                <w:bCs w:val="false"/>
                <w:color w:val="334155"/>
                <w:sz w:val="20"/>
                <w:szCs w:val="20"/>
              </w:rPr>
              <w:t xml:space="preserve">No sale, licensing, or sharing with third parties</w:t>
            </w:r>
          </w:p>
        </w:tc>
        <w:tc>
          <w:tcPr>
            <w:tcW w:type="dxa" w:w="6080"/>
            <w:tcMar>
              <w:top w:type="dxa" w:w="80"/>
              <w:left w:type="dxa" w:w="120"/>
              <w:bottom w:type="dxa" w:w="80"/>
              <w:right w:type="dxa" w:w="120"/>
            </w:tcMar>
          </w:tcPr>
          <w:p>
            <w:pPr>
              <w:spacing w:after="0" w:before="0" w:line="264"/>
            </w:pPr>
            <w:r>
              <w:rPr>
                <w:b w:val="false"/>
                <w:bCs w:val="false"/>
                <w:color w:val="334155"/>
                <w:sz w:val="20"/>
                <w:szCs w:val="20"/>
              </w:rPr>
              <w:t xml:space="preserve">Yes. We do not sell, license, or share City or resident data, and we do not use resident contact details for our own marketing. Resident email addresses are used only to send that resident their own confirmations.</w:t>
            </w:r>
          </w:p>
        </w:tc>
      </w:tr>
      <w:tr>
        <w:trPr>
          <w:cantSplit/>
        </w:trPr>
        <w:tc>
          <w:tcPr>
            <w:tcW w:type="dxa" w:w="800"/>
            <w:tcMar>
              <w:top w:type="dxa" w:w="80"/>
              <w:left w:type="dxa" w:w="120"/>
              <w:bottom w:type="dxa" w:w="80"/>
              <w:right w:type="dxa" w:w="120"/>
            </w:tcMar>
          </w:tcPr>
          <w:p>
            <w:pPr>
              <w:spacing w:after="0" w:before="0" w:line="264"/>
            </w:pPr>
            <w:r>
              <w:rPr>
                <w:b w:val="false"/>
                <w:bCs w:val="false"/>
                <w:color w:val="334155"/>
                <w:sz w:val="20"/>
                <w:szCs w:val="20"/>
              </w:rPr>
              <w:t xml:space="preserve">4G.4</w:t>
            </w:r>
          </w:p>
        </w:tc>
        <w:tc>
          <w:tcPr>
            <w:tcW w:type="dxa" w:w="3200"/>
            <w:tcMar>
              <w:top w:type="dxa" w:w="80"/>
              <w:left w:type="dxa" w:w="120"/>
              <w:bottom w:type="dxa" w:w="80"/>
              <w:right w:type="dxa" w:w="120"/>
            </w:tcMar>
          </w:tcPr>
          <w:p>
            <w:pPr>
              <w:spacing w:after="0" w:before="0" w:line="264"/>
            </w:pPr>
            <w:r>
              <w:rPr>
                <w:b w:val="false"/>
                <w:bCs w:val="false"/>
                <w:color w:val="334155"/>
                <w:sz w:val="20"/>
                <w:szCs w:val="20"/>
              </w:rPr>
              <w:t xml:space="preserve">Encrypted in transit and at rest</w:t>
            </w:r>
          </w:p>
        </w:tc>
        <w:tc>
          <w:tcPr>
            <w:tcW w:type="dxa" w:w="6080"/>
            <w:tcMar>
              <w:top w:type="dxa" w:w="80"/>
              <w:left w:type="dxa" w:w="120"/>
              <w:bottom w:type="dxa" w:w="80"/>
              <w:right w:type="dxa" w:w="120"/>
            </w:tcMar>
          </w:tcPr>
          <w:p>
            <w:pPr>
              <w:spacing w:after="0" w:before="0" w:line="264"/>
            </w:pPr>
            <w:r>
              <w:rPr>
                <w:b w:val="false"/>
                <w:bCs w:val="false"/>
                <w:color w:val="334155"/>
                <w:sz w:val="20"/>
                <w:szCs w:val="20"/>
              </w:rPr>
              <w:t xml:space="preserve">In transit: HTTPS throughout, HTTP redirects to HTTPS, TLS 1.2 minimum at the CDN, certificates managed by AWS Certificate Manager. At rest: the database is encrypted with AES-256 under an AWS-managed KMS key, and file storage is AES-256 encrypted. Connections between the application and the database require TLS and run inside a single private subnet, and the database is not reachable from the internet at all.</w:t>
            </w:r>
          </w:p>
        </w:tc>
      </w:tr>
      <w:tr>
        <w:trPr>
          <w:cantSplit/>
        </w:trPr>
        <w:tc>
          <w:tcPr>
            <w:tcW w:type="dxa" w:w="800"/>
            <w:tcMar>
              <w:top w:type="dxa" w:w="80"/>
              <w:left w:type="dxa" w:w="120"/>
              <w:bottom w:type="dxa" w:w="80"/>
              <w:right w:type="dxa" w:w="120"/>
            </w:tcMar>
          </w:tcPr>
          <w:p>
            <w:pPr>
              <w:spacing w:after="0" w:before="0" w:line="264"/>
            </w:pPr>
            <w:r>
              <w:rPr>
                <w:b w:val="false"/>
                <w:bCs w:val="false"/>
                <w:color w:val="334155"/>
                <w:sz w:val="20"/>
                <w:szCs w:val="20"/>
              </w:rPr>
              <w:t xml:space="preserve">4G.5</w:t>
            </w:r>
          </w:p>
        </w:tc>
        <w:tc>
          <w:tcPr>
            <w:tcW w:type="dxa" w:w="3200"/>
            <w:tcMar>
              <w:top w:type="dxa" w:w="80"/>
              <w:left w:type="dxa" w:w="120"/>
              <w:bottom w:type="dxa" w:w="80"/>
              <w:right w:type="dxa" w:w="120"/>
            </w:tcMar>
          </w:tcPr>
          <w:p>
            <w:pPr>
              <w:spacing w:after="0" w:before="0" w:line="264"/>
            </w:pPr>
            <w:r>
              <w:rPr>
                <w:b w:val="false"/>
                <w:bCs w:val="false"/>
                <w:color w:val="334155"/>
                <w:sz w:val="20"/>
                <w:szCs w:val="20"/>
              </w:rPr>
              <w:t xml:space="preserve">Backup frequency, retention, and recovery process</w:t>
            </w:r>
          </w:p>
        </w:tc>
        <w:tc>
          <w:tcPr>
            <w:tcW w:type="dxa" w:w="6080"/>
            <w:tcMar>
              <w:top w:type="dxa" w:w="80"/>
              <w:left w:type="dxa" w:w="120"/>
              <w:bottom w:type="dxa" w:w="80"/>
              <w:right w:type="dxa" w:w="120"/>
            </w:tcMar>
          </w:tcPr>
          <w:p>
            <w:pPr>
              <w:spacing w:after="0" w:before="0" w:line="264"/>
            </w:pPr>
            <w:r>
              <w:rPr>
                <w:b w:val="false"/>
                <w:bCs w:val="false"/>
                <w:color w:val="334155"/>
                <w:sz w:val="20"/>
                <w:szCs w:val="20"/>
              </w:rPr>
              <w:t xml:space="preserve">Automated daily backups with a 35-minute backup window, 7-day retention, and point-in-time recovery to any second inside that window. Backups inherit the encryption of the cluster. Deletion protection is enabled, so the database cannot be dropped by a single mistaken command.</w:t>
            </w:r>
          </w:p>
        </w:tc>
      </w:tr>
      <w:tr>
        <w:trPr>
          <w:cantSplit/>
        </w:trPr>
        <w:tc>
          <w:tcPr>
            <w:tcW w:type="dxa" w:w="800"/>
            <w:tcMar>
              <w:top w:type="dxa" w:w="80"/>
              <w:left w:type="dxa" w:w="120"/>
              <w:bottom w:type="dxa" w:w="80"/>
              <w:right w:type="dxa" w:w="120"/>
            </w:tcMar>
          </w:tcPr>
          <w:p>
            <w:pPr>
              <w:spacing w:after="0" w:before="0" w:line="264"/>
            </w:pPr>
            <w:r>
              <w:rPr>
                <w:b w:val="false"/>
                <w:bCs w:val="false"/>
                <w:color w:val="334155"/>
                <w:sz w:val="20"/>
                <w:szCs w:val="20"/>
              </w:rPr>
              <w:t xml:space="preserve">4G.6</w:t>
            </w:r>
          </w:p>
        </w:tc>
        <w:tc>
          <w:tcPr>
            <w:tcW w:type="dxa" w:w="3200"/>
            <w:tcMar>
              <w:top w:type="dxa" w:w="80"/>
              <w:left w:type="dxa" w:w="120"/>
              <w:bottom w:type="dxa" w:w="80"/>
              <w:right w:type="dxa" w:w="120"/>
            </w:tcMar>
          </w:tcPr>
          <w:p>
            <w:pPr>
              <w:spacing w:after="0" w:before="0" w:line="264"/>
            </w:pPr>
            <w:r>
              <w:rPr>
                <w:b w:val="false"/>
                <w:bCs w:val="false"/>
                <w:color w:val="334155"/>
                <w:sz w:val="20"/>
                <w:szCs w:val="20"/>
              </w:rPr>
              <w:t xml:space="preserve">Breach notification without undue delay, within [N] days</w:t>
            </w:r>
          </w:p>
        </w:tc>
        <w:tc>
          <w:tcPr>
            <w:tcW w:type="dxa" w:w="6080"/>
            <w:tcMar>
              <w:top w:type="dxa" w:w="80"/>
              <w:left w:type="dxa" w:w="120"/>
              <w:bottom w:type="dxa" w:w="80"/>
              <w:right w:type="dxa" w:w="120"/>
            </w:tcMar>
          </w:tcPr>
          <w:p>
            <w:pPr>
              <w:spacing w:after="0" w:before="0" w:line="264"/>
            </w:pPr>
            <w:r>
              <w:rPr>
                <w:b w:val="false"/>
                <w:bCs w:val="false"/>
                <w:color w:val="334155"/>
                <w:sz w:val="20"/>
                <w:szCs w:val="20"/>
              </w:rPr>
              <w:t xml:space="preserve">We will notify the City without undue delay and in any case within 72 hours of becoming aware of any breach affecting City or resident data, including what we know, what we do not yet know, and what we are doing. If your city requires a shorter period, we will agree it in the services agreement.</w:t>
            </w:r>
          </w:p>
        </w:tc>
      </w:tr>
      <w:tr>
        <w:trPr>
          <w:cantSplit/>
        </w:trPr>
        <w:tc>
          <w:tcPr>
            <w:tcW w:type="dxa" w:w="800"/>
            <w:tcMar>
              <w:top w:type="dxa" w:w="80"/>
              <w:left w:type="dxa" w:w="120"/>
              <w:bottom w:type="dxa" w:w="80"/>
              <w:right w:type="dxa" w:w="120"/>
            </w:tcMar>
          </w:tcPr>
          <w:p>
            <w:pPr>
              <w:spacing w:after="0" w:before="0" w:line="264"/>
            </w:pPr>
            <w:r>
              <w:rPr>
                <w:b w:val="false"/>
                <w:bCs w:val="false"/>
                <w:color w:val="334155"/>
                <w:sz w:val="20"/>
                <w:szCs w:val="20"/>
              </w:rPr>
              <w:t xml:space="preserve">4G.7</w:t>
            </w:r>
          </w:p>
        </w:tc>
        <w:tc>
          <w:tcPr>
            <w:tcW w:type="dxa" w:w="3200"/>
            <w:tcMar>
              <w:top w:type="dxa" w:w="80"/>
              <w:left w:type="dxa" w:w="120"/>
              <w:bottom w:type="dxa" w:w="80"/>
              <w:right w:type="dxa" w:w="120"/>
            </w:tcMar>
          </w:tcPr>
          <w:p>
            <w:pPr>
              <w:spacing w:after="0" w:before="0" w:line="264"/>
            </w:pPr>
            <w:r>
              <w:rPr>
                <w:b w:val="false"/>
                <w:bCs w:val="false"/>
                <w:color w:val="334155"/>
                <w:sz w:val="20"/>
                <w:szCs w:val="20"/>
              </w:rPr>
              <w:t xml:space="preserve">Hosting provider and geographic region</w:t>
            </w:r>
          </w:p>
        </w:tc>
        <w:tc>
          <w:tcPr>
            <w:tcW w:type="dxa" w:w="6080"/>
            <w:tcMar>
              <w:top w:type="dxa" w:w="80"/>
              <w:left w:type="dxa" w:w="120"/>
              <w:bottom w:type="dxa" w:w="80"/>
              <w:right w:type="dxa" w:w="120"/>
            </w:tcMar>
          </w:tcPr>
          <w:p>
            <w:pPr>
              <w:spacing w:after="0" w:before="0" w:line="264"/>
            </w:pPr>
            <w:r>
              <w:rPr>
                <w:b w:val="false"/>
                <w:bCs w:val="false"/>
                <w:color w:val="334155"/>
                <w:sz w:val="20"/>
                <w:szCs w:val="20"/>
              </w:rPr>
              <w:t xml:space="preserve">Amazon Web Services, US East (Northern Virginia), region us-east-1. All City and resident data is stored in the United States. Payment processing is Stripe and transactional email is Brevo; both are named in section 6.</w:t>
            </w:r>
          </w:p>
        </w:tc>
      </w:tr>
      <w:tr>
        <w:trPr>
          <w:cantSplit/>
        </w:trPr>
        <w:tc>
          <w:tcPr>
            <w:tcW w:type="dxa" w:w="800"/>
            <w:tcMar>
              <w:top w:type="dxa" w:w="80"/>
              <w:left w:type="dxa" w:w="120"/>
              <w:bottom w:type="dxa" w:w="80"/>
              <w:right w:type="dxa" w:w="120"/>
            </w:tcMar>
          </w:tcPr>
          <w:p>
            <w:pPr>
              <w:spacing w:after="0" w:before="0" w:line="264"/>
            </w:pPr>
            <w:r>
              <w:rPr>
                <w:b w:val="false"/>
                <w:bCs w:val="false"/>
                <w:color w:val="334155"/>
                <w:sz w:val="20"/>
                <w:szCs w:val="20"/>
              </w:rPr>
              <w:t xml:space="preserve">4G.8</w:t>
            </w:r>
          </w:p>
        </w:tc>
        <w:tc>
          <w:tcPr>
            <w:tcW w:type="dxa" w:w="3200"/>
            <w:tcMar>
              <w:top w:type="dxa" w:w="80"/>
              <w:left w:type="dxa" w:w="120"/>
              <w:bottom w:type="dxa" w:w="80"/>
              <w:right w:type="dxa" w:w="120"/>
            </w:tcMar>
          </w:tcPr>
          <w:p>
            <w:pPr>
              <w:spacing w:after="0" w:before="0" w:line="264"/>
            </w:pPr>
            <w:r>
              <w:rPr>
                <w:b w:val="false"/>
                <w:bCs w:val="false"/>
                <w:color w:val="334155"/>
                <w:sz w:val="20"/>
                <w:szCs w:val="20"/>
              </w:rPr>
              <w:t xml:space="preserve">A web address identifying the City</w:t>
            </w:r>
          </w:p>
        </w:tc>
        <w:tc>
          <w:tcPr>
            <w:tcW w:type="dxa" w:w="6080"/>
            <w:tcMar>
              <w:top w:type="dxa" w:w="80"/>
              <w:left w:type="dxa" w:w="120"/>
              <w:bottom w:type="dxa" w:w="80"/>
              <w:right w:type="dxa" w:w="120"/>
            </w:tcMar>
          </w:tcPr>
          <w:p>
            <w:pPr>
              <w:spacing w:after="0" w:before="0" w:line="264"/>
            </w:pPr>
            <w:r>
              <w:rPr>
                <w:b w:val="false"/>
                <w:bCs w:val="false"/>
                <w:color w:val="334155"/>
                <w:sz w:val="20"/>
                <w:szCs w:val="20"/>
              </w:rPr>
              <w:t xml:space="preserve">Yes. Each city runs on its own address in the form yourcity.parkspilot.com, carrying the city's name, logo, and colors. A city that prefers a domain it controls can point one at us.</w:t>
            </w:r>
          </w:p>
        </w:tc>
      </w:tr>
    </w:tbl>
    <w:p>
      <w:pPr>
        <w:spacing w:after="120"/>
      </w:pPr>
    </w:p>
    <w:p>
      <w:pPr>
        <w:pStyle w:val="Heading1"/>
        <w:keepNext/>
        <w:spacing w:after="140" w:before="360"/>
      </w:pPr>
      <w:r>
        <w:rPr>
          <w:b/>
          <w:bCs/>
          <w:color w:val="1A3A5C"/>
          <w:sz w:val="26"/>
          <w:szCs w:val="26"/>
        </w:rPr>
        <w:t xml:space="preserve">2. Authentication and access control</w:t>
      </w:r>
    </w:p>
    <w:p>
      <w:pPr>
        <w:pStyle w:val="ListParagraph"/>
        <w:numPr>
          <w:ilvl w:val="0"/>
          <w:numId w:val="2"/>
        </w:numPr>
        <w:spacing w:after="80" w:line="264"/>
      </w:pPr>
      <w:r>
        <w:rPr>
          <w:color w:val="334155"/>
          <w:sz w:val="20"/>
          <w:szCs w:val="20"/>
        </w:rPr>
        <w:t xml:space="preserve">Residents never create an account. There is no resident password to steal, no resident credential to reset, and no resident login surface to attack. A resident books with a name and an email address and retrieves the booking with a confirmation number.</w:t>
      </w:r>
    </w:p>
    <w:p>
      <w:pPr>
        <w:pStyle w:val="ListParagraph"/>
        <w:numPr>
          <w:ilvl w:val="0"/>
          <w:numId w:val="2"/>
        </w:numPr>
        <w:spacing w:after="80" w:line="264"/>
      </w:pPr>
      <w:r>
        <w:rPr>
          <w:color w:val="334155"/>
          <w:sz w:val="20"/>
          <w:szCs w:val="20"/>
        </w:rPr>
        <w:t xml:space="preserve">Staff passwords are hashed with BCrypt at work factor 12. Plaintext passwords are never stored and never written to logs.</w:t>
      </w:r>
    </w:p>
    <w:p>
      <w:pPr>
        <w:pStyle w:val="ListParagraph"/>
        <w:numPr>
          <w:ilvl w:val="0"/>
          <w:numId w:val="2"/>
        </w:numPr>
        <w:spacing w:after="80" w:line="264"/>
      </w:pPr>
      <w:r>
        <w:rPr>
          <w:color w:val="334155"/>
          <w:sz w:val="20"/>
          <w:szCs w:val="20"/>
        </w:rPr>
        <w:t xml:space="preserve">A sign-in attempt for an unknown email is compared against a dummy hash, so the response time does not reveal whether an account exists.</w:t>
      </w:r>
    </w:p>
    <w:p>
      <w:pPr>
        <w:pStyle w:val="ListParagraph"/>
        <w:numPr>
          <w:ilvl w:val="0"/>
          <w:numId w:val="2"/>
        </w:numPr>
        <w:spacing w:after="80" w:line="264"/>
      </w:pPr>
      <w:r>
        <w:rPr>
          <w:color w:val="334155"/>
          <w:sz w:val="20"/>
          <w:szCs w:val="20"/>
        </w:rPr>
        <w:t xml:space="preserve">Staff sessions are signed tokens that expire after 8 hours and carry the staff member's city. A token cannot be replayed against another city.</w:t>
      </w:r>
    </w:p>
    <w:p>
      <w:pPr>
        <w:pStyle w:val="ListParagraph"/>
        <w:numPr>
          <w:ilvl w:val="0"/>
          <w:numId w:val="2"/>
        </w:numPr>
        <w:spacing w:after="80" w:line="264"/>
      </w:pPr>
      <w:r>
        <w:rPr>
          <w:color w:val="334155"/>
          <w:sz w:val="20"/>
          <w:szCs w:val="20"/>
        </w:rPr>
        <w:t xml:space="preserve">Deactivating a staff account blocks the next sign-in. An already-issued token stays valid until it expires, because there is no server-side revocation list. The 8-hour ceiling is the control on that, and it is the reason the window is 8 hours rather than 30 days. If a departure needs immediate effect, tell us and we will invalidate sessions.</w:t>
      </w:r>
    </w:p>
    <w:p>
      <w:pPr>
        <w:pStyle w:val="ListParagraph"/>
        <w:numPr>
          <w:ilvl w:val="0"/>
          <w:numId w:val="2"/>
        </w:numPr>
        <w:spacing w:after="80" w:line="264"/>
      </w:pPr>
      <w:r>
        <w:rPr>
          <w:color w:val="334155"/>
          <w:sz w:val="20"/>
          <w:szCs w:val="20"/>
        </w:rPr>
        <w:t xml:space="preserve">Roles separate ordinary staff from administrators. Refunding or withholding a deposit is restricted to administrators, and every such action records the amount, the reason, the person, and the time.</w:t>
      </w:r>
    </w:p>
    <w:p>
      <w:pPr>
        <w:spacing w:after="80"/>
      </w:pPr>
    </w:p>
    <w:p>
      <w:pPr>
        <w:pStyle w:val="Heading1"/>
        <w:keepNext/>
        <w:spacing w:after="140" w:before="360"/>
      </w:pPr>
      <w:r>
        <w:rPr>
          <w:b/>
          <w:bCs/>
          <w:color w:val="1A3A5C"/>
          <w:sz w:val="26"/>
          <w:szCs w:val="26"/>
        </w:rPr>
        <w:t xml:space="preserve">3. Separation between cities</w:t>
      </w:r>
    </w:p>
    <w:p>
      <w:pPr>
        <w:spacing w:after="160" w:before="0" w:line="264"/>
      </w:pPr>
      <w:r>
        <w:rPr>
          <w:color w:val="334155"/>
          <w:sz w:val="20"/>
          <w:szCs w:val="20"/>
        </w:rPr>
        <w:t xml:space="preserve">ParksPilot serves multiple cities from one application, so the question of whether one city can see another city's data is the right one to ask. The answer is architectural rather than procedural.</w:t>
      </w:r>
    </w:p>
    <w:p>
      <w:pPr>
        <w:spacing w:after="160" w:before="0" w:line="264"/>
      </w:pPr>
      <w:r>
        <w:rPr>
          <w:color w:val="334155"/>
          <w:sz w:val="20"/>
          <w:szCs w:val="20"/>
        </w:rPr>
        <w:t xml:space="preserve">The city is resolved from the web address before any application code runs, and is placed into a tenant context that every service and every database query receives automatically. It is not a filter a developer remembers to add to each query; a query written without it does not compile into a working request. Staff tokens additionally carry the city they were issued for, so a valid token from one city is rejected by another.</w:t>
      </w:r>
    </w:p>
    <w:p>
      <w:pPr>
        <w:pStyle w:val="Heading1"/>
        <w:keepNext/>
        <w:spacing w:after="140" w:before="360"/>
      </w:pPr>
      <w:r>
        <w:rPr>
          <w:b/>
          <w:bCs/>
          <w:color w:val="1A3A5C"/>
          <w:sz w:val="26"/>
          <w:szCs w:val="26"/>
        </w:rPr>
        <w:t xml:space="preserve">4. What data we actually hold</w:t>
      </w:r>
    </w:p>
    <w:p>
      <w:pPr>
        <w:spacing w:after="160" w:before="0" w:line="264"/>
      </w:pPr>
      <w:r>
        <w:rPr>
          <w:color w:val="334155"/>
          <w:sz w:val="20"/>
          <w:szCs w:val="20"/>
        </w:rPr>
        <w:t xml:space="preserve">Worth stating precisely, because the answer is smaller than most people expect and it bounds every other question in this document.</w:t>
      </w:r>
    </w:p>
    <w:tbl>
      <w:tblPr>
        <w:tblW w:type="dxa" w:w="10080"/>
        <w:tblBorders>
          <w:top w:val="single" w:color="D6DCE4" w:sz="4"/>
          <w:left w:val="single" w:color="D6DCE4" w:sz="4"/>
          <w:bottom w:val="single" w:color="D6DCE4" w:sz="4"/>
          <w:right w:val="single" w:color="D6DCE4" w:sz="4"/>
          <w:insideH w:val="single" w:color="D6DCE4" w:sz="4"/>
          <w:insideV w:val="single" w:color="D6DCE4" w:sz="4"/>
        </w:tblBorders>
      </w:tblPr>
      <w:tblGrid>
        <w:gridCol w:w="3000"/>
        <w:gridCol w:w="7080"/>
      </w:tblGrid>
      <w:tr>
        <w:trPr>
          <w:tblHeader/>
        </w:trPr>
        <w:tc>
          <w:tcPr>
            <w:tcW w:type="dxa" w:w="3000"/>
            <w:shd w:fill="F1F5F9" w:color="auto" w:val="clear"/>
            <w:tcMar>
              <w:top w:type="dxa" w:w="80"/>
              <w:left w:type="dxa" w:w="120"/>
              <w:bottom w:type="dxa" w:w="80"/>
              <w:right w:type="dxa" w:w="120"/>
            </w:tcMar>
          </w:tcPr>
          <w:p>
            <w:pPr>
              <w:spacing w:after="0" w:before="0" w:line="264"/>
            </w:pPr>
            <w:r>
              <w:rPr>
                <w:b/>
                <w:bCs/>
                <w:color w:val="1A3A5C"/>
                <w:sz w:val="20"/>
                <w:szCs w:val="20"/>
              </w:rPr>
              <w:t xml:space="preserve">About</w:t>
            </w:r>
          </w:p>
        </w:tc>
        <w:tc>
          <w:tcPr>
            <w:tcW w:type="dxa" w:w="7080"/>
            <w:shd w:fill="F1F5F9" w:color="auto" w:val="clear"/>
            <w:tcMar>
              <w:top w:type="dxa" w:w="80"/>
              <w:left w:type="dxa" w:w="120"/>
              <w:bottom w:type="dxa" w:w="80"/>
              <w:right w:type="dxa" w:w="120"/>
            </w:tcMar>
          </w:tcPr>
          <w:p>
            <w:pPr>
              <w:spacing w:after="0" w:before="0" w:line="264"/>
            </w:pPr>
            <w:r>
              <w:rPr>
                <w:b/>
                <w:bCs/>
                <w:color w:val="1A3A5C"/>
                <w:sz w:val="20"/>
                <w:szCs w:val="20"/>
              </w:rPr>
              <w:t xml:space="preserve">What is stored</w:t>
            </w:r>
          </w:p>
        </w:tc>
      </w:tr>
      <w:tr>
        <w:trPr>
          <w:cantSplit/>
        </w:trPr>
        <w:tc>
          <w:tcPr>
            <w:tcW w:type="dxa" w:w="3000"/>
            <w:tcMar>
              <w:top w:type="dxa" w:w="80"/>
              <w:left w:type="dxa" w:w="120"/>
              <w:bottom w:type="dxa" w:w="80"/>
              <w:right w:type="dxa" w:w="120"/>
            </w:tcMar>
          </w:tcPr>
          <w:p>
            <w:pPr>
              <w:spacing w:after="0" w:before="0" w:line="264"/>
            </w:pPr>
            <w:r>
              <w:rPr>
                <w:b w:val="false"/>
                <w:bCs w:val="false"/>
                <w:color w:val="334155"/>
                <w:sz w:val="20"/>
                <w:szCs w:val="20"/>
              </w:rPr>
              <w:t xml:space="preserve">Residents who book</w:t>
            </w:r>
          </w:p>
        </w:tc>
        <w:tc>
          <w:tcPr>
            <w:tcW w:type="dxa" w:w="7080"/>
            <w:tcMar>
              <w:top w:type="dxa" w:w="80"/>
              <w:left w:type="dxa" w:w="120"/>
              <w:bottom w:type="dxa" w:w="80"/>
              <w:right w:type="dxa" w:w="120"/>
            </w:tcMar>
          </w:tcPr>
          <w:p>
            <w:pPr>
              <w:spacing w:after="0" w:before="0" w:line="264"/>
            </w:pPr>
            <w:r>
              <w:rPr>
                <w:b w:val="false"/>
                <w:bCs w:val="false"/>
                <w:color w:val="334155"/>
                <w:sz w:val="20"/>
                <w:szCs w:val="20"/>
              </w:rPr>
              <w:t xml:space="preserve">Name, email address, telephone number, the facility and times reserved, amounts paid and refunded, and any answers given on an event permit application.</w:t>
            </w:r>
          </w:p>
        </w:tc>
      </w:tr>
      <w:tr>
        <w:trPr>
          <w:cantSplit/>
        </w:trPr>
        <w:tc>
          <w:tcPr>
            <w:tcW w:type="dxa" w:w="3000"/>
            <w:tcMar>
              <w:top w:type="dxa" w:w="80"/>
              <w:left w:type="dxa" w:w="120"/>
              <w:bottom w:type="dxa" w:w="80"/>
              <w:right w:type="dxa" w:w="120"/>
            </w:tcMar>
          </w:tcPr>
          <w:p>
            <w:pPr>
              <w:spacing w:after="0" w:before="0" w:line="264"/>
            </w:pPr>
            <w:r>
              <w:rPr>
                <w:b w:val="false"/>
                <w:bCs w:val="false"/>
                <w:color w:val="334155"/>
                <w:sz w:val="20"/>
                <w:szCs w:val="20"/>
              </w:rPr>
              <w:t xml:space="preserve">City staff</w:t>
            </w:r>
          </w:p>
        </w:tc>
        <w:tc>
          <w:tcPr>
            <w:tcW w:type="dxa" w:w="7080"/>
            <w:tcMar>
              <w:top w:type="dxa" w:w="80"/>
              <w:left w:type="dxa" w:w="120"/>
              <w:bottom w:type="dxa" w:w="80"/>
              <w:right w:type="dxa" w:w="120"/>
            </w:tcMar>
          </w:tcPr>
          <w:p>
            <w:pPr>
              <w:spacing w:after="0" w:before="0" w:line="264"/>
            </w:pPr>
            <w:r>
              <w:rPr>
                <w:b w:val="false"/>
                <w:bCs w:val="false"/>
                <w:color w:val="334155"/>
                <w:sz w:val="20"/>
                <w:szCs w:val="20"/>
              </w:rPr>
              <w:t xml:space="preserve">Name, email address, role, and a BCrypt password hash.</w:t>
            </w:r>
          </w:p>
        </w:tc>
      </w:tr>
      <w:tr>
        <w:trPr>
          <w:cantSplit/>
        </w:trPr>
        <w:tc>
          <w:tcPr>
            <w:tcW w:type="dxa" w:w="3000"/>
            <w:tcMar>
              <w:top w:type="dxa" w:w="80"/>
              <w:left w:type="dxa" w:w="120"/>
              <w:bottom w:type="dxa" w:w="80"/>
              <w:right w:type="dxa" w:w="120"/>
            </w:tcMar>
          </w:tcPr>
          <w:p>
            <w:pPr>
              <w:spacing w:after="0" w:before="0" w:line="264"/>
            </w:pPr>
            <w:r>
              <w:rPr>
                <w:b w:val="false"/>
                <w:bCs w:val="false"/>
                <w:color w:val="334155"/>
                <w:sz w:val="20"/>
                <w:szCs w:val="20"/>
              </w:rPr>
              <w:t xml:space="preserve">Payments</w:t>
            </w:r>
          </w:p>
        </w:tc>
        <w:tc>
          <w:tcPr>
            <w:tcW w:type="dxa" w:w="7080"/>
            <w:tcMar>
              <w:top w:type="dxa" w:w="80"/>
              <w:left w:type="dxa" w:w="120"/>
              <w:bottom w:type="dxa" w:w="80"/>
              <w:right w:type="dxa" w:w="120"/>
            </w:tcMar>
          </w:tcPr>
          <w:p>
            <w:pPr>
              <w:spacing w:after="0" w:before="0" w:line="264"/>
            </w:pPr>
            <w:r>
              <w:rPr>
                <w:b w:val="false"/>
                <w:bCs w:val="false"/>
                <w:color w:val="334155"/>
                <w:sz w:val="20"/>
                <w:szCs w:val="20"/>
              </w:rPr>
              <w:t xml:space="preserve">Stripe identifiers and amounts. See section 5.</w:t>
            </w:r>
          </w:p>
        </w:tc>
      </w:tr>
      <w:tr>
        <w:trPr>
          <w:cantSplit/>
        </w:trPr>
        <w:tc>
          <w:tcPr>
            <w:tcW w:type="dxa" w:w="3000"/>
            <w:tcMar>
              <w:top w:type="dxa" w:w="80"/>
              <w:left w:type="dxa" w:w="120"/>
              <w:bottom w:type="dxa" w:w="80"/>
              <w:right w:type="dxa" w:w="120"/>
            </w:tcMar>
          </w:tcPr>
          <w:p>
            <w:pPr>
              <w:spacing w:after="0" w:before="0" w:line="264"/>
            </w:pPr>
            <w:r>
              <w:rPr>
                <w:b w:val="false"/>
                <w:bCs w:val="false"/>
                <w:color w:val="334155"/>
                <w:sz w:val="20"/>
                <w:szCs w:val="20"/>
              </w:rPr>
              <w:t xml:space="preserve">Never stored</w:t>
            </w:r>
          </w:p>
        </w:tc>
        <w:tc>
          <w:tcPr>
            <w:tcW w:type="dxa" w:w="7080"/>
            <w:tcMar>
              <w:top w:type="dxa" w:w="80"/>
              <w:left w:type="dxa" w:w="120"/>
              <w:bottom w:type="dxa" w:w="80"/>
              <w:right w:type="dxa" w:w="120"/>
            </w:tcMar>
          </w:tcPr>
          <w:p>
            <w:pPr>
              <w:spacing w:after="0" w:before="0" w:line="264"/>
            </w:pPr>
            <w:r>
              <w:rPr>
                <w:b w:val="false"/>
                <w:bCs w:val="false"/>
                <w:color w:val="334155"/>
                <w:sz w:val="20"/>
                <w:szCs w:val="20"/>
              </w:rPr>
              <w:t xml:space="preserve">Card numbers, bank account details, social security numbers, dates of birth, driver's licence numbers, or any other government identifier. We do not ask for them and there is nowhere to put them.</w:t>
            </w:r>
          </w:p>
        </w:tc>
      </w:tr>
    </w:tbl>
    <w:p>
      <w:pPr>
        <w:spacing w:after="120"/>
      </w:pPr>
    </w:p>
    <w:p>
      <w:pPr>
        <w:pStyle w:val="Heading1"/>
        <w:keepNext/>
        <w:spacing w:after="140" w:before="360"/>
      </w:pPr>
      <w:r>
        <w:rPr>
          <w:b/>
          <w:bCs/>
          <w:color w:val="1A3A5C"/>
          <w:sz w:val="26"/>
          <w:szCs w:val="26"/>
        </w:rPr>
        <w:t xml:space="preserve">5. Payments and the City's PCI position</w:t>
      </w:r>
    </w:p>
    <w:p>
      <w:pPr>
        <w:pStyle w:val="ListParagraph"/>
        <w:numPr>
          <w:ilvl w:val="0"/>
          <w:numId w:val="2"/>
        </w:numPr>
        <w:spacing w:after="80" w:line="264"/>
      </w:pPr>
      <w:r>
        <w:rPr>
          <w:color w:val="334155"/>
          <w:sz w:val="20"/>
          <w:szCs w:val="20"/>
        </w:rPr>
        <w:t xml:space="preserve">Payments run through Stripe. Each city connects its own Stripe account, and funds settle directly into the city's own bank account. ParksPilot never holds, pools, or takes custody of public money.</w:t>
      </w:r>
    </w:p>
    <w:p>
      <w:pPr>
        <w:pStyle w:val="ListParagraph"/>
        <w:numPr>
          <w:ilvl w:val="0"/>
          <w:numId w:val="2"/>
        </w:numPr>
        <w:spacing w:after="80" w:line="264"/>
      </w:pPr>
      <w:r>
        <w:rPr>
          <w:color w:val="334155"/>
          <w:sz w:val="20"/>
          <w:szCs w:val="20"/>
        </w:rPr>
        <w:t xml:space="preserve">Card details are entered into a payment form hosted and served by Stripe. They do not pass through ParksPilot servers, they are not present in our logs, and they never reach a City workstation.</w:t>
      </w:r>
    </w:p>
    <w:p>
      <w:pPr>
        <w:pStyle w:val="ListParagraph"/>
        <w:numPr>
          <w:ilvl w:val="0"/>
          <w:numId w:val="2"/>
        </w:numPr>
        <w:spacing w:after="80" w:line="264"/>
      </w:pPr>
      <w:r>
        <w:rPr>
          <w:color w:val="334155"/>
          <w:sz w:val="20"/>
          <w:szCs w:val="20"/>
        </w:rPr>
        <w:t xml:space="preserve">We store Stripe's identifiers for a payment and the amount, so staff can reconcile a reservation to a transaction. We cannot retrieve a card number, because we never had one.</w:t>
      </w:r>
    </w:p>
    <w:p>
      <w:pPr>
        <w:pStyle w:val="ListParagraph"/>
        <w:numPr>
          <w:ilvl w:val="0"/>
          <w:numId w:val="2"/>
        </w:numPr>
        <w:spacing w:after="80" w:line="264"/>
      </w:pPr>
      <w:r>
        <w:rPr>
          <w:color w:val="334155"/>
          <w:sz w:val="20"/>
          <w:szCs w:val="20"/>
        </w:rPr>
        <w:t xml:space="preserve">Refunds, disputes, and payout reports are visible to the City in the City's own Stripe dashboard, without going through us.</w:t>
      </w:r>
    </w:p>
    <w:p>
      <w:pPr>
        <w:pStyle w:val="ListParagraph"/>
        <w:numPr>
          <w:ilvl w:val="0"/>
          <w:numId w:val="2"/>
        </w:numPr>
        <w:spacing w:after="80" w:line="264"/>
      </w:pPr>
      <w:r>
        <w:rPr>
          <w:color w:val="334155"/>
          <w:sz w:val="20"/>
          <w:szCs w:val="20"/>
        </w:rPr>
        <w:t xml:space="preserve">Because card data never touches our systems or yours, the City's PCI scope is limited. Which self-assessment questionnaire applies to your city is a determination for your acquirer, and we will complete any vendor section of it that you send us.</w:t>
      </w:r>
    </w:p>
    <w:p>
      <w:pPr>
        <w:spacing w:after="80"/>
      </w:pPr>
    </w:p>
    <w:p>
      <w:pPr>
        <w:pStyle w:val="Heading1"/>
        <w:keepNext/>
        <w:spacing w:after="140" w:before="360"/>
      </w:pPr>
      <w:r>
        <w:rPr>
          <w:b/>
          <w:bCs/>
          <w:color w:val="1A3A5C"/>
          <w:sz w:val="26"/>
          <w:szCs w:val="26"/>
        </w:rPr>
        <w:t xml:space="preserve">6. Subprocessors</w:t>
      </w:r>
    </w:p>
    <w:p>
      <w:pPr>
        <w:spacing w:after="160" w:before="0" w:line="264"/>
      </w:pPr>
      <w:r>
        <w:rPr>
          <w:color w:val="334155"/>
          <w:sz w:val="20"/>
          <w:szCs w:val="20"/>
        </w:rPr>
        <w:t xml:space="preserve">The complete list of third parties that can touch City or resident data. If it changes, cities are told before it takes effect.</w:t>
      </w:r>
    </w:p>
    <w:tbl>
      <w:tblPr>
        <w:tblW w:type="dxa" w:w="10080"/>
        <w:tblBorders>
          <w:top w:val="single" w:color="D6DCE4" w:sz="4"/>
          <w:left w:val="single" w:color="D6DCE4" w:sz="4"/>
          <w:bottom w:val="single" w:color="D6DCE4" w:sz="4"/>
          <w:right w:val="single" w:color="D6DCE4" w:sz="4"/>
          <w:insideH w:val="single" w:color="D6DCE4" w:sz="4"/>
          <w:insideV w:val="single" w:color="D6DCE4" w:sz="4"/>
        </w:tblBorders>
      </w:tblPr>
      <w:tblGrid>
        <w:gridCol w:w="2600"/>
        <w:gridCol w:w="3600"/>
        <w:gridCol w:w="3880"/>
      </w:tblGrid>
      <w:tr>
        <w:trPr>
          <w:tblHeader/>
        </w:trPr>
        <w:tc>
          <w:tcPr>
            <w:tcW w:type="dxa" w:w="2600"/>
            <w:shd w:fill="F1F5F9" w:color="auto" w:val="clear"/>
            <w:tcMar>
              <w:top w:type="dxa" w:w="80"/>
              <w:left w:type="dxa" w:w="120"/>
              <w:bottom w:type="dxa" w:w="80"/>
              <w:right w:type="dxa" w:w="120"/>
            </w:tcMar>
          </w:tcPr>
          <w:p>
            <w:pPr>
              <w:spacing w:after="0" w:before="0" w:line="264"/>
            </w:pPr>
            <w:r>
              <w:rPr>
                <w:b/>
                <w:bCs/>
                <w:color w:val="1A3A5C"/>
                <w:sz w:val="20"/>
                <w:szCs w:val="20"/>
              </w:rPr>
              <w:t xml:space="preserve">Provider</w:t>
            </w:r>
          </w:p>
        </w:tc>
        <w:tc>
          <w:tcPr>
            <w:tcW w:type="dxa" w:w="3600"/>
            <w:shd w:fill="F1F5F9" w:color="auto" w:val="clear"/>
            <w:tcMar>
              <w:top w:type="dxa" w:w="80"/>
              <w:left w:type="dxa" w:w="120"/>
              <w:bottom w:type="dxa" w:w="80"/>
              <w:right w:type="dxa" w:w="120"/>
            </w:tcMar>
          </w:tcPr>
          <w:p>
            <w:pPr>
              <w:spacing w:after="0" w:before="0" w:line="264"/>
            </w:pPr>
            <w:r>
              <w:rPr>
                <w:b/>
                <w:bCs/>
                <w:color w:val="1A3A5C"/>
                <w:sz w:val="20"/>
                <w:szCs w:val="20"/>
              </w:rPr>
              <w:t xml:space="preserve">Purpose</w:t>
            </w:r>
          </w:p>
        </w:tc>
        <w:tc>
          <w:tcPr>
            <w:tcW w:type="dxa" w:w="3880"/>
            <w:shd w:fill="F1F5F9" w:color="auto" w:val="clear"/>
            <w:tcMar>
              <w:top w:type="dxa" w:w="80"/>
              <w:left w:type="dxa" w:w="120"/>
              <w:bottom w:type="dxa" w:w="80"/>
              <w:right w:type="dxa" w:w="120"/>
            </w:tcMar>
          </w:tcPr>
          <w:p>
            <w:pPr>
              <w:spacing w:after="0" w:before="0" w:line="264"/>
            </w:pPr>
            <w:r>
              <w:rPr>
                <w:b/>
                <w:bCs/>
                <w:color w:val="1A3A5C"/>
                <w:sz w:val="20"/>
                <w:szCs w:val="20"/>
              </w:rPr>
              <w:t xml:space="preserve">What it can see</w:t>
            </w:r>
          </w:p>
        </w:tc>
      </w:tr>
      <w:tr>
        <w:trPr>
          <w:cantSplit/>
        </w:trPr>
        <w:tc>
          <w:tcPr>
            <w:tcW w:type="dxa" w:w="2600"/>
            <w:tcMar>
              <w:top w:type="dxa" w:w="80"/>
              <w:left w:type="dxa" w:w="120"/>
              <w:bottom w:type="dxa" w:w="80"/>
              <w:right w:type="dxa" w:w="120"/>
            </w:tcMar>
          </w:tcPr>
          <w:p>
            <w:pPr>
              <w:spacing w:after="0" w:before="0" w:line="264"/>
            </w:pPr>
            <w:r>
              <w:rPr>
                <w:b w:val="false"/>
                <w:bCs w:val="false"/>
                <w:color w:val="334155"/>
                <w:sz w:val="20"/>
                <w:szCs w:val="20"/>
              </w:rPr>
              <w:t xml:space="preserve">Amazon Web Services</w:t>
            </w:r>
          </w:p>
        </w:tc>
        <w:tc>
          <w:tcPr>
            <w:tcW w:type="dxa" w:w="3600"/>
            <w:tcMar>
              <w:top w:type="dxa" w:w="80"/>
              <w:left w:type="dxa" w:w="120"/>
              <w:bottom w:type="dxa" w:w="80"/>
              <w:right w:type="dxa" w:w="120"/>
            </w:tcMar>
          </w:tcPr>
          <w:p>
            <w:pPr>
              <w:spacing w:after="0" w:before="0" w:line="264"/>
            </w:pPr>
            <w:r>
              <w:rPr>
                <w:b w:val="false"/>
                <w:bCs w:val="false"/>
                <w:color w:val="334155"/>
                <w:sz w:val="20"/>
                <w:szCs w:val="20"/>
              </w:rPr>
              <w:t xml:space="preserve">Hosting, database, file storage, content delivery</w:t>
            </w:r>
          </w:p>
        </w:tc>
        <w:tc>
          <w:tcPr>
            <w:tcW w:type="dxa" w:w="3880"/>
            <w:tcMar>
              <w:top w:type="dxa" w:w="80"/>
              <w:left w:type="dxa" w:w="120"/>
              <w:bottom w:type="dxa" w:w="80"/>
              <w:right w:type="dxa" w:w="120"/>
            </w:tcMar>
          </w:tcPr>
          <w:p>
            <w:pPr>
              <w:spacing w:after="0" w:before="0" w:line="264"/>
            </w:pPr>
            <w:r>
              <w:rPr>
                <w:b w:val="false"/>
                <w:bCs w:val="false"/>
                <w:color w:val="334155"/>
                <w:sz w:val="20"/>
                <w:szCs w:val="20"/>
              </w:rPr>
              <w:t xml:space="preserve">All application data, encrypted at rest, in us-east-1</w:t>
            </w:r>
          </w:p>
        </w:tc>
      </w:tr>
      <w:tr>
        <w:trPr>
          <w:cantSplit/>
        </w:trPr>
        <w:tc>
          <w:tcPr>
            <w:tcW w:type="dxa" w:w="2600"/>
            <w:tcMar>
              <w:top w:type="dxa" w:w="80"/>
              <w:left w:type="dxa" w:w="120"/>
              <w:bottom w:type="dxa" w:w="80"/>
              <w:right w:type="dxa" w:w="120"/>
            </w:tcMar>
          </w:tcPr>
          <w:p>
            <w:pPr>
              <w:spacing w:after="0" w:before="0" w:line="264"/>
            </w:pPr>
            <w:r>
              <w:rPr>
                <w:b w:val="false"/>
                <w:bCs w:val="false"/>
                <w:color w:val="334155"/>
                <w:sz w:val="20"/>
                <w:szCs w:val="20"/>
              </w:rPr>
              <w:t xml:space="preserve">Stripe</w:t>
            </w:r>
          </w:p>
        </w:tc>
        <w:tc>
          <w:tcPr>
            <w:tcW w:type="dxa" w:w="3600"/>
            <w:tcMar>
              <w:top w:type="dxa" w:w="80"/>
              <w:left w:type="dxa" w:w="120"/>
              <w:bottom w:type="dxa" w:w="80"/>
              <w:right w:type="dxa" w:w="120"/>
            </w:tcMar>
          </w:tcPr>
          <w:p>
            <w:pPr>
              <w:spacing w:after="0" w:before="0" w:line="264"/>
            </w:pPr>
            <w:r>
              <w:rPr>
                <w:b w:val="false"/>
                <w:bCs w:val="false"/>
                <w:color w:val="334155"/>
                <w:sz w:val="20"/>
                <w:szCs w:val="20"/>
              </w:rPr>
              <w:t xml:space="preserve">Card processing and settlement to the City's bank account</w:t>
            </w:r>
          </w:p>
        </w:tc>
        <w:tc>
          <w:tcPr>
            <w:tcW w:type="dxa" w:w="3880"/>
            <w:tcMar>
              <w:top w:type="dxa" w:w="80"/>
              <w:left w:type="dxa" w:w="120"/>
              <w:bottom w:type="dxa" w:w="80"/>
              <w:right w:type="dxa" w:w="120"/>
            </w:tcMar>
          </w:tcPr>
          <w:p>
            <w:pPr>
              <w:spacing w:after="0" w:before="0" w:line="264"/>
            </w:pPr>
            <w:r>
              <w:rPr>
                <w:b w:val="false"/>
                <w:bCs w:val="false"/>
                <w:color w:val="334155"/>
                <w:sz w:val="20"/>
                <w:szCs w:val="20"/>
              </w:rPr>
              <w:t xml:space="preserve">Payment details, payer name and email</w:t>
            </w:r>
          </w:p>
        </w:tc>
      </w:tr>
      <w:tr>
        <w:trPr>
          <w:cantSplit/>
        </w:trPr>
        <w:tc>
          <w:tcPr>
            <w:tcW w:type="dxa" w:w="2600"/>
            <w:tcMar>
              <w:top w:type="dxa" w:w="80"/>
              <w:left w:type="dxa" w:w="120"/>
              <w:bottom w:type="dxa" w:w="80"/>
              <w:right w:type="dxa" w:w="120"/>
            </w:tcMar>
          </w:tcPr>
          <w:p>
            <w:pPr>
              <w:spacing w:after="0" w:before="0" w:line="264"/>
            </w:pPr>
            <w:r>
              <w:rPr>
                <w:b w:val="false"/>
                <w:bCs w:val="false"/>
                <w:color w:val="334155"/>
                <w:sz w:val="20"/>
                <w:szCs w:val="20"/>
              </w:rPr>
              <w:t xml:space="preserve">Brevo</w:t>
            </w:r>
          </w:p>
        </w:tc>
        <w:tc>
          <w:tcPr>
            <w:tcW w:type="dxa" w:w="3600"/>
            <w:tcMar>
              <w:top w:type="dxa" w:w="80"/>
              <w:left w:type="dxa" w:w="120"/>
              <w:bottom w:type="dxa" w:w="80"/>
              <w:right w:type="dxa" w:w="120"/>
            </w:tcMar>
          </w:tcPr>
          <w:p>
            <w:pPr>
              <w:spacing w:after="0" w:before="0" w:line="264"/>
            </w:pPr>
            <w:r>
              <w:rPr>
                <w:b w:val="false"/>
                <w:bCs w:val="false"/>
                <w:color w:val="334155"/>
                <w:sz w:val="20"/>
                <w:szCs w:val="20"/>
              </w:rPr>
              <w:t xml:space="preserve">Sending confirmation and notification email</w:t>
            </w:r>
          </w:p>
        </w:tc>
        <w:tc>
          <w:tcPr>
            <w:tcW w:type="dxa" w:w="3880"/>
            <w:tcMar>
              <w:top w:type="dxa" w:w="80"/>
              <w:left w:type="dxa" w:w="120"/>
              <w:bottom w:type="dxa" w:w="80"/>
              <w:right w:type="dxa" w:w="120"/>
            </w:tcMar>
          </w:tcPr>
          <w:p>
            <w:pPr>
              <w:spacing w:after="0" w:before="0" w:line="264"/>
            </w:pPr>
            <w:r>
              <w:rPr>
                <w:b w:val="false"/>
                <w:bCs w:val="false"/>
                <w:color w:val="334155"/>
                <w:sz w:val="20"/>
                <w:szCs w:val="20"/>
              </w:rPr>
              <w:t xml:space="preserve">Recipient email address and the contents of that message</w:t>
            </w:r>
          </w:p>
        </w:tc>
      </w:tr>
    </w:tbl>
    <w:p>
      <w:pPr>
        <w:spacing w:after="120"/>
      </w:pPr>
    </w:p>
    <w:p>
      <w:pPr>
        <w:pStyle w:val="Heading1"/>
        <w:keepNext/>
        <w:spacing w:after="140" w:before="360"/>
      </w:pPr>
      <w:r>
        <w:rPr>
          <w:b/>
          <w:bCs/>
          <w:color w:val="1A3A5C"/>
          <w:sz w:val="26"/>
          <w:szCs w:val="26"/>
        </w:rPr>
        <w:t xml:space="preserve">7. Availability, backup, and recovery</w:t>
      </w:r>
    </w:p>
    <w:p>
      <w:pPr>
        <w:pStyle w:val="ListParagraph"/>
        <w:numPr>
          <w:ilvl w:val="0"/>
          <w:numId w:val="2"/>
        </w:numPr>
        <w:spacing w:after="80" w:line="264"/>
      </w:pPr>
      <w:r>
        <w:rPr>
          <w:color w:val="334155"/>
          <w:sz w:val="20"/>
          <w:szCs w:val="20"/>
        </w:rPr>
        <w:t xml:space="preserve">The database is Amazon Aurora MySQL, running in a single availability zone. Automated daily backups are retained for 7 days with point-in-time recovery to any second in that window.</w:t>
      </w:r>
    </w:p>
    <w:p>
      <w:pPr>
        <w:pStyle w:val="ListParagraph"/>
        <w:numPr>
          <w:ilvl w:val="0"/>
          <w:numId w:val="2"/>
        </w:numPr>
        <w:spacing w:after="80" w:line="264"/>
      </w:pPr>
      <w:r>
        <w:rPr>
          <w:color w:val="334155"/>
          <w:sz w:val="20"/>
          <w:szCs w:val="20"/>
        </w:rPr>
        <w:t xml:space="preserve">Recovery from a backup is a restore of the cluster to a chosen moment. In a serious failure the realistic recovery time is measured in hours, not minutes, and the realistic data loss is measured in minutes.</w:t>
      </w:r>
    </w:p>
    <w:p>
      <w:pPr>
        <w:pStyle w:val="ListParagraph"/>
        <w:numPr>
          <w:ilvl w:val="0"/>
          <w:numId w:val="2"/>
        </w:numPr>
        <w:spacing w:after="80" w:line="264"/>
      </w:pPr>
      <w:r>
        <w:rPr>
          <w:color w:val="334155"/>
          <w:sz w:val="20"/>
          <w:szCs w:val="20"/>
        </w:rPr>
        <w:t xml:space="preserve">We have not committed to a contractual recovery time or recovery point objective, because we would rather tell you the real numbers above than sign up to figures we have not rehearsed. If your city needs a formal commitment, tell us and we will discuss what it would take.</w:t>
      </w:r>
    </w:p>
    <w:p>
      <w:pPr>
        <w:pStyle w:val="ListParagraph"/>
        <w:numPr>
          <w:ilvl w:val="0"/>
          <w:numId w:val="2"/>
        </w:numPr>
        <w:spacing w:after="80" w:line="264"/>
      </w:pPr>
      <w:r>
        <w:rPr>
          <w:color w:val="334155"/>
          <w:sz w:val="20"/>
          <w:szCs w:val="20"/>
        </w:rPr>
        <w:t xml:space="preserve">Deletion protection is enabled on the database, and file storage blocks public access.</w:t>
      </w:r>
    </w:p>
    <w:p>
      <w:pPr>
        <w:spacing w:after="80"/>
      </w:pPr>
    </w:p>
    <w:p>
      <w:pPr>
        <w:pStyle w:val="Heading1"/>
        <w:keepNext/>
        <w:spacing w:after="140" w:before="360"/>
      </w:pPr>
      <w:r>
        <w:rPr>
          <w:b/>
          <w:bCs/>
          <w:color w:val="1A3A5C"/>
          <w:sz w:val="26"/>
          <w:szCs w:val="26"/>
        </w:rPr>
        <w:t xml:space="preserve">8. Patching and change management</w:t>
      </w:r>
    </w:p>
    <w:p>
      <w:pPr>
        <w:pStyle w:val="ListParagraph"/>
        <w:numPr>
          <w:ilvl w:val="0"/>
          <w:numId w:val="2"/>
        </w:numPr>
        <w:spacing w:after="80" w:line="264"/>
      </w:pPr>
      <w:r>
        <w:rPr>
          <w:color w:val="334155"/>
          <w:sz w:val="20"/>
          <w:szCs w:val="20"/>
        </w:rPr>
        <w:t xml:space="preserve">The database applies minor version updates automatically inside a defined weekly maintenance window.</w:t>
      </w:r>
    </w:p>
    <w:p>
      <w:pPr>
        <w:pStyle w:val="ListParagraph"/>
        <w:numPr>
          <w:ilvl w:val="0"/>
          <w:numId w:val="2"/>
        </w:numPr>
        <w:spacing w:after="80" w:line="264"/>
      </w:pPr>
      <w:r>
        <w:rPr>
          <w:color w:val="334155"/>
          <w:sz w:val="20"/>
          <w:szCs w:val="20"/>
        </w:rPr>
        <w:t xml:space="preserve">Operating system and platform updates for the application server are applied automatically on a managed weekly schedule at patch level. The update runs as an immutable deployment: a replacement instance is built and has to pass health checks before it takes traffic, so a bad update does not take the service down.</w:t>
      </w:r>
    </w:p>
    <w:p>
      <w:pPr>
        <w:pStyle w:val="ListParagraph"/>
        <w:numPr>
          <w:ilvl w:val="0"/>
          <w:numId w:val="2"/>
        </w:numPr>
        <w:spacing w:after="80" w:line="264"/>
      </w:pPr>
      <w:r>
        <w:rPr>
          <w:color w:val="334155"/>
          <w:sz w:val="20"/>
          <w:szCs w:val="20"/>
        </w:rPr>
        <w:t xml:space="preserve">Application dependencies are updated as part of ordinary releases. Releases are deployed from version control, and every change is reviewed before it reaches production.</w:t>
      </w:r>
    </w:p>
    <w:p>
      <w:pPr>
        <w:pStyle w:val="ListParagraph"/>
        <w:numPr>
          <w:ilvl w:val="0"/>
          <w:numId w:val="2"/>
        </w:numPr>
        <w:spacing w:after="80" w:line="264"/>
      </w:pPr>
      <w:r>
        <w:rPr>
          <w:color w:val="334155"/>
          <w:sz w:val="20"/>
          <w:szCs w:val="20"/>
        </w:rPr>
        <w:t xml:space="preserve">Configuration secrets, including database credentials, the token signing key, and payment keys, are held in AWS Secrets Manager and are not present in source control or in any configuration file we ship.</w:t>
      </w:r>
    </w:p>
    <w:p>
      <w:pPr>
        <w:spacing w:after="80"/>
      </w:pPr>
    </w:p>
    <w:p>
      <w:pPr>
        <w:pStyle w:val="Heading1"/>
        <w:keepNext/>
        <w:spacing w:after="140" w:before="360"/>
      </w:pPr>
      <w:r>
        <w:rPr>
          <w:b/>
          <w:bCs/>
          <w:color w:val="1A3A5C"/>
          <w:sz w:val="26"/>
          <w:szCs w:val="26"/>
        </w:rPr>
        <w:t xml:space="preserve">9. Network exposure</w:t>
      </w:r>
    </w:p>
    <w:p>
      <w:pPr>
        <w:pStyle w:val="ListParagraph"/>
        <w:numPr>
          <w:ilvl w:val="0"/>
          <w:numId w:val="2"/>
        </w:numPr>
        <w:spacing w:after="80" w:line="264"/>
      </w:pPr>
      <w:r>
        <w:rPr>
          <w:color w:val="334155"/>
          <w:sz w:val="20"/>
          <w:szCs w:val="20"/>
        </w:rPr>
        <w:t xml:space="preserve">The application is reachable from the public internet over HTTPS only. HTTP requests are redirected.</w:t>
      </w:r>
    </w:p>
    <w:p>
      <w:pPr>
        <w:pStyle w:val="ListParagraph"/>
        <w:numPr>
          <w:ilvl w:val="0"/>
          <w:numId w:val="2"/>
        </w:numPr>
        <w:spacing w:after="80" w:line="264"/>
      </w:pPr>
      <w:r>
        <w:rPr>
          <w:color w:val="334155"/>
          <w:sz w:val="20"/>
          <w:szCs w:val="20"/>
        </w:rPr>
        <w:t xml:space="preserve">The database accepts connections from the application only, enforced at the network level by security group membership rather than by an address list, plus one administrative address for the operator. It is not reachable from the general internet.</w:t>
      </w:r>
    </w:p>
    <w:p>
      <w:pPr>
        <w:pStyle w:val="ListParagraph"/>
        <w:numPr>
          <w:ilvl w:val="0"/>
          <w:numId w:val="2"/>
        </w:numPr>
        <w:spacing w:after="80" w:line="264"/>
      </w:pPr>
      <w:r>
        <w:rPr>
          <w:color w:val="334155"/>
          <w:sz w:val="20"/>
          <w:szCs w:val="20"/>
        </w:rPr>
        <w:t xml:space="preserve">Static assets are served through a content delivery network that requires HTTPS and a minimum of TLS 1.2.</w:t>
      </w:r>
    </w:p>
    <w:p>
      <w:pPr>
        <w:spacing w:after="80"/>
      </w:pPr>
    </w:p>
    <w:p>
      <w:pPr>
        <w:pStyle w:val="Heading1"/>
        <w:keepNext/>
        <w:spacing w:after="140" w:before="360"/>
      </w:pPr>
      <w:r>
        <w:rPr>
          <w:b/>
          <w:bCs/>
          <w:color w:val="1A3A5C"/>
          <w:sz w:val="26"/>
          <w:szCs w:val="26"/>
        </w:rPr>
        <w:t xml:space="preserve">10. Logging, monitoring, and who can reach production</w:t>
      </w:r>
    </w:p>
    <w:p>
      <w:pPr>
        <w:pStyle w:val="ListParagraph"/>
        <w:numPr>
          <w:ilvl w:val="0"/>
          <w:numId w:val="2"/>
        </w:numPr>
        <w:spacing w:after="80" w:line="264"/>
      </w:pPr>
      <w:r>
        <w:rPr>
          <w:color w:val="334155"/>
          <w:sz w:val="20"/>
          <w:szCs w:val="20"/>
        </w:rPr>
        <w:t xml:space="preserve">Application logs are collected centrally and retained. Passwords, card data, and tokens are not written to them.</w:t>
      </w:r>
    </w:p>
    <w:p>
      <w:pPr>
        <w:pStyle w:val="ListParagraph"/>
        <w:numPr>
          <w:ilvl w:val="0"/>
          <w:numId w:val="2"/>
        </w:numPr>
        <w:spacing w:after="80" w:line="264"/>
      </w:pPr>
      <w:r>
        <w:rPr>
          <w:color w:val="334155"/>
          <w:sz w:val="20"/>
          <w:szCs w:val="20"/>
        </w:rPr>
        <w:t xml:space="preserve">Administrative actions inside the staff portal carry their own audit trail: who acted, what changed, and when. That trail is visible to the City, not only to us.</w:t>
      </w:r>
    </w:p>
    <w:p>
      <w:pPr>
        <w:pStyle w:val="ListParagraph"/>
        <w:numPr>
          <w:ilvl w:val="0"/>
          <w:numId w:val="2"/>
        </w:numPr>
        <w:spacing w:after="80" w:line="264"/>
      </w:pPr>
      <w:r>
        <w:rPr>
          <w:color w:val="334155"/>
          <w:sz w:val="20"/>
          <w:szCs w:val="20"/>
        </w:rPr>
        <w:t xml:space="preserve">ParksPilot is built and operated by a small team at Kahnputers LLC. Access to production infrastructure is limited to named individuals authenticating to AWS with their own credentials. There is no shared operator account.</w:t>
      </w:r>
    </w:p>
    <w:p>
      <w:pPr>
        <w:pStyle w:val="ListParagraph"/>
        <w:numPr>
          <w:ilvl w:val="0"/>
          <w:numId w:val="2"/>
        </w:numPr>
        <w:spacing w:after="80" w:line="264"/>
      </w:pPr>
      <w:r>
        <w:rPr>
          <w:color w:val="334155"/>
          <w:sz w:val="20"/>
          <w:szCs w:val="20"/>
        </w:rPr>
        <w:t xml:space="preserve">We access a city's data only to operate the service or to respond to a request from that city.</w:t>
      </w:r>
    </w:p>
    <w:p>
      <w:pPr>
        <w:spacing w:after="80"/>
      </w:pPr>
    </w:p>
    <w:p>
      <w:pPr>
        <w:pStyle w:val="Heading1"/>
        <w:keepNext/>
        <w:spacing w:after="140" w:before="360"/>
      </w:pPr>
      <w:r>
        <w:rPr>
          <w:b/>
          <w:bCs/>
          <w:color w:val="1A3A5C"/>
          <w:sz w:val="26"/>
          <w:szCs w:val="26"/>
        </w:rPr>
        <w:t xml:space="preserve">11. What we do not have</w:t>
      </w:r>
    </w:p>
    <w:p>
      <w:pPr>
        <w:spacing w:after="160" w:before="0" w:line="264"/>
      </w:pPr>
      <w:r>
        <w:rPr>
          <w:color w:val="334155"/>
          <w:sz w:val="20"/>
          <w:szCs w:val="20"/>
        </w:rPr>
        <w:t xml:space="preserve">ParksPilot is a young product from a small company, and pretending otherwise would be the least trustworthy thing in this document. Here is what we cannot claim, so that nothing above has to be read with suspicion.</w:t>
      </w:r>
    </w:p>
    <w:p>
      <w:pPr>
        <w:pStyle w:val="ListParagraph"/>
        <w:numPr>
          <w:ilvl w:val="0"/>
          <w:numId w:val="2"/>
        </w:numPr>
        <w:spacing w:after="80" w:line="264"/>
      </w:pPr>
      <w:r>
        <w:rPr>
          <w:color w:val="334155"/>
          <w:sz w:val="20"/>
          <w:szCs w:val="20"/>
        </w:rPr>
        <w:t xml:space="preserve">No SOC 2 report and no ISO 27001 certification. Neither is realistic at our size today. If your procurement requires one, say so early and we will tell you honestly that we cannot meet it rather than waste your evaluation.</w:t>
      </w:r>
    </w:p>
    <w:p>
      <w:pPr>
        <w:pStyle w:val="ListParagraph"/>
        <w:numPr>
          <w:ilvl w:val="0"/>
          <w:numId w:val="2"/>
        </w:numPr>
        <w:spacing w:after="80" w:line="264"/>
      </w:pPr>
      <w:r>
        <w:rPr>
          <w:color w:val="334155"/>
          <w:sz w:val="20"/>
          <w:szCs w:val="20"/>
        </w:rPr>
        <w:t xml:space="preserve">No third-party penetration test. The application has been audited for accessibility by us, and reviewed for security by us, and those are not the same as an independent test.</w:t>
      </w:r>
    </w:p>
    <w:p>
      <w:pPr>
        <w:pStyle w:val="ListParagraph"/>
        <w:numPr>
          <w:ilvl w:val="0"/>
          <w:numId w:val="2"/>
        </w:numPr>
        <w:spacing w:after="80" w:line="264"/>
      </w:pPr>
      <w:r>
        <w:rPr>
          <w:color w:val="334155"/>
          <w:sz w:val="20"/>
          <w:szCs w:val="20"/>
        </w:rPr>
        <w:t xml:space="preserve">No formal recovery time or recovery point commitment, for the reason given in section 7.</w:t>
      </w:r>
    </w:p>
    <w:p>
      <w:pPr>
        <w:pStyle w:val="ListParagraph"/>
        <w:numPr>
          <w:ilvl w:val="0"/>
          <w:numId w:val="2"/>
        </w:numPr>
        <w:spacing w:after="80" w:line="264"/>
      </w:pPr>
      <w:r>
        <w:rPr>
          <w:color w:val="334155"/>
          <w:sz w:val="20"/>
          <w:szCs w:val="20"/>
        </w:rPr>
        <w:t xml:space="preserve">No self-service data export yet, as stated at 4G.2.</w:t>
      </w:r>
    </w:p>
    <w:p>
      <w:pPr>
        <w:pStyle w:val="ListParagraph"/>
        <w:numPr>
          <w:ilvl w:val="0"/>
          <w:numId w:val="2"/>
        </w:numPr>
        <w:spacing w:after="80" w:line="264"/>
      </w:pPr>
      <w:r>
        <w:rPr>
          <w:color w:val="334155"/>
          <w:sz w:val="20"/>
          <w:szCs w:val="20"/>
        </w:rPr>
        <w:t xml:space="preserve">No dedicated security staff. Security work is done by the people who build the product.</w:t>
      </w:r>
    </w:p>
    <w:p>
      <w:pPr>
        <w:pStyle w:val="ListParagraph"/>
        <w:numPr>
          <w:ilvl w:val="0"/>
          <w:numId w:val="2"/>
        </w:numPr>
        <w:spacing w:after="80" w:line="264"/>
      </w:pPr>
      <w:r>
        <w:rPr>
          <w:color w:val="334155"/>
          <w:sz w:val="20"/>
          <w:szCs w:val="20"/>
        </w:rPr>
        <w:t xml:space="preserve">What we do instead: keep the amount of sensitive data small, keep card data entirely with Stripe, keep credentials out of source control, enforce separation between cities in the architecture rather than by policy, and answer questions like these in writing rather than by assertion.</w:t>
      </w:r>
    </w:p>
    <w:p>
      <w:pPr>
        <w:spacing w:after="80"/>
      </w:pPr>
    </w:p>
    <w:p>
      <w:pPr>
        <w:pStyle w:val="Heading1"/>
        <w:keepNext/>
        <w:spacing w:after="140" w:before="360"/>
      </w:pPr>
      <w:r>
        <w:rPr>
          <w:b/>
          <w:bCs/>
          <w:color w:val="1A3A5C"/>
          <w:sz w:val="26"/>
          <w:szCs w:val="26"/>
        </w:rPr>
        <w:t xml:space="preserve">12. Questions</w:t>
      </w:r>
    </w:p>
    <w:p>
      <w:pPr>
        <w:spacing w:after="160" w:before="0" w:line="264"/>
      </w:pPr>
      <w:r>
        <w:rPr>
          <w:color w:val="334155"/>
          <w:sz w:val="20"/>
          <w:szCs w:val="20"/>
        </w:rPr>
        <w:t xml:space="preserve">Send a security questionnaire, an information security addendum, or a list of questions from your insurer or your county IT provider to parks@parkspilot.com and we will complete it. If something in this document is wrong or has gone out of date, tell us and we will correct it and reissue, with the date changed on the front page.</w:t>
      </w:r>
    </w:p>
    <w:p>
      <w:pPr>
        <w:pBdr>
          <w:top w:val="single" w:color="D6DCE4" w:sz="6" w:space="12"/>
        </w:pBdr>
        <w:spacing w:before="480"/>
      </w:pPr>
      <w:r>
        <w:rPr>
          <w:i/>
          <w:iCs/>
          <w:color w:val="64748B"/>
          <w:sz w:val="18"/>
          <w:szCs w:val="18"/>
        </w:rPr>
        <w:t xml:space="preserve">Kahnputers LLC, maker of ParksPilot. www.parkspilot.com  parks@parkspilot.com  Georgia, USA. Registered in the federal System for Award Management (SAM.gov).</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94A3B8"/>
        <w:sz w:val="16"/>
        <w:szCs w:val="16"/>
      </w:rPr>
      <w:t xml:space="preserve">Page </w:t>
    </w:r>
    <w:r>
      <w:rPr>
        <w:color w:val="94A3B8"/>
        <w:sz w:val="16"/>
        <w:szCs w:val="16"/>
      </w:rPr>
      <w:fldChar w:fldCharType="begin"/>
      <w:instrText xml:space="preserve">PAGE</w:instrText>
      <w:fldChar w:fldCharType="separate"/>
      <w:fldChar w:fldCharType="end"/>
    </w:r>
    <w:r>
      <w:rPr>
        <w:color w:val="94A3B8"/>
        <w:sz w:val="16"/>
        <w:szCs w:val="16"/>
      </w:rPr>
      <w:t xml:space="preserve"> of </w:t>
    </w:r>
    <w:r>
      <w:rPr>
        <w:color w:val="94A3B8"/>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2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data protection</dc:title>
  <dc:creator>Kahnputers LLC</dc:creator>
  <dc:description>ParksPilot, by Kahnputers LLC</dc:description>
  <cp:lastModifiedBy>Un-named</cp:lastModifiedBy>
  <cp:revision>1</cp:revision>
  <dcterms:created xsi:type="dcterms:W3CDTF">2026-08-23T21:36:17.162Z</dcterms:created>
  <dcterms:modified xsi:type="dcterms:W3CDTF">2026-08-23T21:36:17.162Z</dcterms:modified>
</cp:coreProperties>
</file>

<file path=docProps/custom.xml><?xml version="1.0" encoding="utf-8"?>
<Properties xmlns="http://schemas.openxmlformats.org/officeDocument/2006/custom-properties" xmlns:vt="http://schemas.openxmlformats.org/officeDocument/2006/docPropsVTypes"/>
</file>